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val="0"/>
          <w:bCs/>
          <w:sz w:val="30"/>
          <w:szCs w:val="30"/>
        </w:rPr>
      </w:pPr>
      <w:bookmarkStart w:id="0" w:name="_GoBack"/>
      <w:bookmarkEnd w:id="0"/>
      <w:r>
        <w:rPr>
          <w:rFonts w:hint="eastAsia" w:ascii="宋体" w:hAnsi="宋体" w:cs="宋体"/>
          <w:b w:val="0"/>
          <w:bCs/>
          <w:sz w:val="30"/>
          <w:szCs w:val="30"/>
        </w:rPr>
        <w:t>附件1.</w:t>
      </w:r>
    </w:p>
    <w:p>
      <w:pPr>
        <w:pStyle w:val="2"/>
        <w:spacing w:line="720" w:lineRule="auto"/>
        <w:jc w:val="center"/>
        <w:rPr>
          <w:b/>
          <w:sz w:val="36"/>
          <w:szCs w:val="36"/>
        </w:rPr>
      </w:pPr>
      <w:r>
        <w:rPr>
          <w:rFonts w:hint="eastAsia"/>
          <w:b/>
          <w:sz w:val="36"/>
          <w:szCs w:val="36"/>
        </w:rPr>
        <w:t>湖北省高等教育自学考试毕业网上申请流程图</w:t>
      </w:r>
    </w:p>
    <w:p>
      <w:r>
        <w:object>
          <v:shape id="_x0000_i1025" o:spt="75" type="#_x0000_t75" style="height:547.2pt;width:412.8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
    <w:p>
      <w:pPr>
        <w:rPr>
          <w:rFonts w:ascii="宋体" w:hAnsi="宋体" w:cs="宋体"/>
          <w:b w:val="0"/>
          <w:bCs/>
          <w:sz w:val="30"/>
          <w:szCs w:val="30"/>
        </w:rPr>
      </w:pPr>
      <w:r>
        <w:rPr>
          <w:rFonts w:hint="eastAsia" w:ascii="宋体" w:hAnsi="宋体" w:cs="宋体"/>
          <w:b w:val="0"/>
          <w:bCs/>
          <w:sz w:val="30"/>
          <w:szCs w:val="30"/>
        </w:rPr>
        <w:t>附件2.</w:t>
      </w:r>
    </w:p>
    <w:p>
      <w:pPr>
        <w:jc w:val="center"/>
        <w:rPr>
          <w:rFonts w:hint="eastAsia"/>
          <w:b/>
          <w:sz w:val="32"/>
          <w:szCs w:val="32"/>
        </w:rPr>
      </w:pPr>
      <w:r>
        <w:rPr>
          <w:rFonts w:hint="eastAsia"/>
          <w:b/>
          <w:sz w:val="32"/>
          <w:szCs w:val="32"/>
        </w:rPr>
        <w:t>学位申请告知书</w:t>
      </w:r>
    </w:p>
    <w:p>
      <w:pPr>
        <w:rPr>
          <w:rFonts w:hint="eastAsia"/>
          <w:sz w:val="28"/>
          <w:szCs w:val="28"/>
        </w:rPr>
      </w:pPr>
      <w:r>
        <w:rPr>
          <w:rFonts w:hint="eastAsia"/>
          <w:sz w:val="28"/>
          <w:szCs w:val="28"/>
        </w:rPr>
        <w:t>自考毕业生：</w:t>
      </w:r>
    </w:p>
    <w:p>
      <w:pPr>
        <w:ind w:firstLine="560" w:firstLineChars="200"/>
        <w:rPr>
          <w:rFonts w:hint="eastAsia"/>
          <w:sz w:val="28"/>
          <w:szCs w:val="28"/>
        </w:rPr>
      </w:pPr>
      <w:r>
        <w:rPr>
          <w:rFonts w:hint="eastAsia" w:ascii="宋体" w:hAnsi="宋体" w:cs="宋体"/>
          <w:bCs/>
          <w:sz w:val="28"/>
          <w:szCs w:val="28"/>
        </w:rPr>
        <w:t>为了保障各位同学的切身利益，请务必仔细阅读并充分理解《湖北省人民政府学位委员会关于进一步加强学士学位管理保证学位授予质量的通知》（鄂学位〔2012〕6号），以免不能获取学位。</w:t>
      </w:r>
      <w:r>
        <w:rPr>
          <w:rFonts w:hint="eastAsia"/>
          <w:sz w:val="28"/>
          <w:szCs w:val="28"/>
        </w:rPr>
        <w:t>特别是以下两点：</w:t>
      </w:r>
    </w:p>
    <w:p>
      <w:pPr>
        <w:ind w:firstLine="560" w:firstLineChars="200"/>
        <w:rPr>
          <w:rFonts w:hint="eastAsia" w:ascii="宋体" w:hAnsi="宋体" w:cs="宋体"/>
          <w:bCs/>
          <w:sz w:val="28"/>
          <w:szCs w:val="28"/>
        </w:rPr>
      </w:pPr>
      <w:r>
        <w:rPr>
          <w:rFonts w:hint="eastAsia" w:ascii="宋体" w:hAnsi="宋体" w:cs="宋体"/>
          <w:bCs/>
          <w:sz w:val="28"/>
          <w:szCs w:val="28"/>
        </w:rPr>
        <w:t>1、外语成绩必须在学籍期内，即注册前或毕业后报名考试，并取得的学位外语或英语四级等成绩将不能用于申报学位。专本连读考生专科段获得的外语成绩可用于申报学位。</w:t>
      </w:r>
    </w:p>
    <w:p>
      <w:pPr>
        <w:ind w:firstLine="560" w:firstLineChars="200"/>
        <w:rPr>
          <w:rFonts w:hint="eastAsia" w:ascii="宋体" w:hAnsi="宋体" w:cs="宋体"/>
          <w:bCs/>
          <w:sz w:val="28"/>
          <w:szCs w:val="28"/>
        </w:rPr>
      </w:pPr>
      <w:r>
        <w:rPr>
          <w:rFonts w:hint="eastAsia" w:ascii="宋体" w:hAnsi="宋体" w:cs="宋体"/>
          <w:bCs/>
          <w:sz w:val="28"/>
          <w:szCs w:val="28"/>
        </w:rPr>
        <w:t>2、学位证书必须在毕业半年内申请，即5月申请毕业证的学生，必须在当年8月或11月规定的时间内申请学位</w:t>
      </w:r>
      <w:r>
        <w:rPr>
          <w:rFonts w:hint="eastAsia" w:ascii="宋体" w:hAnsi="宋体" w:cs="宋体"/>
          <w:bCs/>
          <w:sz w:val="28"/>
          <w:szCs w:val="28"/>
          <w:lang w:eastAsia="zh-CN"/>
        </w:rPr>
        <w:t>；</w:t>
      </w:r>
      <w:r>
        <w:rPr>
          <w:rFonts w:hint="eastAsia" w:ascii="宋体" w:hAnsi="宋体" w:cs="宋体"/>
          <w:bCs/>
          <w:sz w:val="28"/>
          <w:szCs w:val="28"/>
        </w:rPr>
        <w:t>1</w:t>
      </w:r>
      <w:r>
        <w:rPr>
          <w:rFonts w:hint="eastAsia" w:ascii="宋体" w:hAnsi="宋体" w:cs="宋体"/>
          <w:bCs/>
          <w:sz w:val="28"/>
          <w:szCs w:val="28"/>
          <w:lang w:val="en-US" w:eastAsia="zh-CN"/>
        </w:rPr>
        <w:t>1</w:t>
      </w:r>
      <w:r>
        <w:rPr>
          <w:rFonts w:hint="eastAsia" w:ascii="宋体" w:hAnsi="宋体" w:cs="宋体"/>
          <w:bCs/>
          <w:sz w:val="28"/>
          <w:szCs w:val="28"/>
        </w:rPr>
        <w:t>月申请毕业证的学生，必须在次年2月或5月规定的时间内申请学位。</w:t>
      </w:r>
    </w:p>
    <w:p>
      <w:pPr>
        <w:pStyle w:val="7"/>
        <w:ind w:left="360" w:firstLine="280" w:firstLineChars="100"/>
        <w:rPr>
          <w:rFonts w:hint="eastAsia"/>
          <w:sz w:val="28"/>
          <w:szCs w:val="28"/>
        </w:rPr>
      </w:pPr>
      <w:r>
        <w:rPr>
          <w:rFonts w:hint="eastAsia"/>
          <w:sz w:val="28"/>
          <w:szCs w:val="28"/>
        </w:rPr>
        <w:t>特此告知！</w:t>
      </w:r>
    </w:p>
    <w:p>
      <w:pPr>
        <w:pStyle w:val="7"/>
        <w:ind w:left="360" w:firstLine="150" w:firstLineChars="100"/>
        <w:rPr>
          <w:rFonts w:hint="eastAsia"/>
          <w:sz w:val="15"/>
          <w:szCs w:val="15"/>
        </w:rPr>
      </w:pPr>
    </w:p>
    <w:p>
      <w:pPr>
        <w:pStyle w:val="7"/>
        <w:ind w:left="360" w:firstLine="280" w:firstLineChars="100"/>
        <w:rPr>
          <w:rFonts w:hint="eastAsia"/>
          <w:sz w:val="28"/>
          <w:szCs w:val="28"/>
        </w:rPr>
      </w:pPr>
      <w:r>
        <w:rPr>
          <w:rFonts w:hint="eastAsia"/>
          <w:sz w:val="28"/>
          <w:szCs w:val="28"/>
        </w:rPr>
        <w:t xml:space="preserve">                            助学机构（盖章）</w:t>
      </w:r>
    </w:p>
    <w:p>
      <w:pPr>
        <w:ind w:firstLine="560" w:firstLineChars="200"/>
        <w:rPr>
          <w:rFonts w:hint="eastAsia"/>
          <w:sz w:val="28"/>
          <w:szCs w:val="28"/>
        </w:rPr>
      </w:pPr>
      <w:r>
        <w:rPr>
          <w:rFonts w:hint="eastAsia"/>
          <w:sz w:val="28"/>
          <w:szCs w:val="28"/>
        </w:rPr>
        <w:t>以上关于学位申请的内容本人已充分理解，同意申请毕业。</w:t>
      </w:r>
    </w:p>
    <w:p>
      <w:pPr>
        <w:rPr>
          <w:rFonts w:hint="eastAsia"/>
          <w:sz w:val="28"/>
          <w:szCs w:val="28"/>
        </w:rPr>
      </w:pPr>
      <w:r>
        <w:rPr>
          <w:rFonts w:hint="eastAsia"/>
          <w:sz w:val="28"/>
          <w:szCs w:val="28"/>
        </w:rPr>
        <w:t>签名：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403"/>
        <w:gridCol w:w="1403"/>
        <w:gridCol w:w="1403"/>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jc w:val="center"/>
              <w:rPr>
                <w:sz w:val="28"/>
                <w:szCs w:val="28"/>
              </w:rPr>
            </w:pPr>
            <w:r>
              <w:rPr>
                <w:rFonts w:hint="eastAsia"/>
                <w:sz w:val="28"/>
                <w:szCs w:val="28"/>
              </w:rPr>
              <w:t>序号</w:t>
            </w:r>
          </w:p>
        </w:tc>
        <w:tc>
          <w:tcPr>
            <w:tcW w:w="1403" w:type="dxa"/>
            <w:noWrap w:val="0"/>
            <w:vAlign w:val="top"/>
          </w:tcPr>
          <w:p>
            <w:pPr>
              <w:jc w:val="center"/>
              <w:rPr>
                <w:sz w:val="28"/>
                <w:szCs w:val="28"/>
              </w:rPr>
            </w:pPr>
            <w:r>
              <w:rPr>
                <w:rFonts w:hint="eastAsia"/>
                <w:sz w:val="28"/>
                <w:szCs w:val="28"/>
              </w:rPr>
              <w:t>准考证号</w:t>
            </w:r>
          </w:p>
        </w:tc>
        <w:tc>
          <w:tcPr>
            <w:tcW w:w="1403" w:type="dxa"/>
            <w:noWrap w:val="0"/>
            <w:vAlign w:val="top"/>
          </w:tcPr>
          <w:p>
            <w:pPr>
              <w:jc w:val="center"/>
              <w:rPr>
                <w:sz w:val="28"/>
                <w:szCs w:val="28"/>
              </w:rPr>
            </w:pPr>
            <w:r>
              <w:rPr>
                <w:rFonts w:hint="eastAsia"/>
                <w:sz w:val="28"/>
                <w:szCs w:val="28"/>
              </w:rPr>
              <w:t>姓名</w:t>
            </w:r>
          </w:p>
        </w:tc>
        <w:tc>
          <w:tcPr>
            <w:tcW w:w="1403" w:type="dxa"/>
            <w:noWrap w:val="0"/>
            <w:vAlign w:val="top"/>
          </w:tcPr>
          <w:p>
            <w:pPr>
              <w:jc w:val="center"/>
              <w:rPr>
                <w:sz w:val="28"/>
                <w:szCs w:val="28"/>
              </w:rPr>
            </w:pPr>
            <w:r>
              <w:rPr>
                <w:rFonts w:hint="eastAsia"/>
                <w:sz w:val="28"/>
                <w:szCs w:val="28"/>
              </w:rPr>
              <w:t>序号</w:t>
            </w:r>
          </w:p>
        </w:tc>
        <w:tc>
          <w:tcPr>
            <w:tcW w:w="1403" w:type="dxa"/>
            <w:noWrap w:val="0"/>
            <w:vAlign w:val="top"/>
          </w:tcPr>
          <w:p>
            <w:pPr>
              <w:jc w:val="center"/>
              <w:rPr>
                <w:sz w:val="28"/>
                <w:szCs w:val="28"/>
              </w:rPr>
            </w:pPr>
            <w:r>
              <w:rPr>
                <w:rFonts w:hint="eastAsia"/>
                <w:sz w:val="28"/>
                <w:szCs w:val="28"/>
              </w:rPr>
              <w:t>准考证号</w:t>
            </w:r>
          </w:p>
        </w:tc>
        <w:tc>
          <w:tcPr>
            <w:tcW w:w="1403" w:type="dxa"/>
            <w:noWrap w:val="0"/>
            <w:vAlign w:val="top"/>
          </w:tcPr>
          <w:p>
            <w:pPr>
              <w:jc w:val="center"/>
              <w:rPr>
                <w:sz w:val="28"/>
                <w:szCs w:val="28"/>
              </w:rPr>
            </w:pPr>
            <w:r>
              <w:rPr>
                <w:rFonts w:hint="eastAsia"/>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jc w:val="center"/>
              <w:rPr>
                <w:sz w:val="28"/>
                <w:szCs w:val="28"/>
              </w:rPr>
            </w:pPr>
            <w:r>
              <w:rPr>
                <w:rFonts w:hint="eastAsia"/>
                <w:sz w:val="28"/>
                <w:szCs w:val="28"/>
              </w:rPr>
              <w:t>1</w:t>
            </w:r>
          </w:p>
        </w:tc>
        <w:tc>
          <w:tcPr>
            <w:tcW w:w="1403" w:type="dxa"/>
            <w:noWrap w:val="0"/>
            <w:vAlign w:val="top"/>
          </w:tcPr>
          <w:p>
            <w:pPr>
              <w:rPr>
                <w:sz w:val="28"/>
                <w:szCs w:val="28"/>
              </w:rPr>
            </w:pPr>
          </w:p>
        </w:tc>
        <w:tc>
          <w:tcPr>
            <w:tcW w:w="1403" w:type="dxa"/>
            <w:noWrap w:val="0"/>
            <w:vAlign w:val="top"/>
          </w:tcPr>
          <w:p>
            <w:pPr>
              <w:rPr>
                <w:sz w:val="28"/>
                <w:szCs w:val="28"/>
              </w:rPr>
            </w:pPr>
          </w:p>
        </w:tc>
        <w:tc>
          <w:tcPr>
            <w:tcW w:w="1403" w:type="dxa"/>
            <w:noWrap w:val="0"/>
            <w:vAlign w:val="top"/>
          </w:tcPr>
          <w:p>
            <w:pPr>
              <w:jc w:val="center"/>
              <w:rPr>
                <w:rFonts w:hint="eastAsia" w:eastAsiaTheme="minorEastAsia"/>
                <w:sz w:val="28"/>
                <w:szCs w:val="28"/>
                <w:lang w:eastAsia="zh-CN"/>
              </w:rPr>
            </w:pPr>
            <w:r>
              <w:rPr>
                <w:rFonts w:hint="eastAsia"/>
                <w:sz w:val="28"/>
                <w:szCs w:val="28"/>
                <w:lang w:val="en-US" w:eastAsia="zh-CN"/>
              </w:rPr>
              <w:t>5</w:t>
            </w:r>
          </w:p>
        </w:tc>
        <w:tc>
          <w:tcPr>
            <w:tcW w:w="1403" w:type="dxa"/>
            <w:noWrap w:val="0"/>
            <w:vAlign w:val="top"/>
          </w:tcPr>
          <w:p>
            <w:pPr>
              <w:rPr>
                <w:sz w:val="28"/>
                <w:szCs w:val="28"/>
              </w:rPr>
            </w:pPr>
          </w:p>
        </w:tc>
        <w:tc>
          <w:tcPr>
            <w:tcW w:w="1403"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jc w:val="center"/>
              <w:rPr>
                <w:sz w:val="28"/>
                <w:szCs w:val="28"/>
              </w:rPr>
            </w:pPr>
            <w:r>
              <w:rPr>
                <w:rFonts w:hint="eastAsia"/>
                <w:sz w:val="28"/>
                <w:szCs w:val="28"/>
              </w:rPr>
              <w:t>2</w:t>
            </w:r>
          </w:p>
        </w:tc>
        <w:tc>
          <w:tcPr>
            <w:tcW w:w="1403" w:type="dxa"/>
            <w:noWrap w:val="0"/>
            <w:vAlign w:val="top"/>
          </w:tcPr>
          <w:p>
            <w:pPr>
              <w:rPr>
                <w:sz w:val="28"/>
                <w:szCs w:val="28"/>
              </w:rPr>
            </w:pPr>
          </w:p>
        </w:tc>
        <w:tc>
          <w:tcPr>
            <w:tcW w:w="1403" w:type="dxa"/>
            <w:noWrap w:val="0"/>
            <w:vAlign w:val="top"/>
          </w:tcPr>
          <w:p>
            <w:pPr>
              <w:rPr>
                <w:sz w:val="28"/>
                <w:szCs w:val="28"/>
              </w:rPr>
            </w:pPr>
          </w:p>
        </w:tc>
        <w:tc>
          <w:tcPr>
            <w:tcW w:w="1403" w:type="dxa"/>
            <w:noWrap w:val="0"/>
            <w:vAlign w:val="top"/>
          </w:tcPr>
          <w:p>
            <w:pPr>
              <w:jc w:val="center"/>
              <w:rPr>
                <w:rFonts w:hint="eastAsia" w:eastAsiaTheme="minorEastAsia"/>
                <w:sz w:val="28"/>
                <w:szCs w:val="28"/>
                <w:lang w:eastAsia="zh-CN"/>
              </w:rPr>
            </w:pPr>
            <w:r>
              <w:rPr>
                <w:rFonts w:hint="eastAsia"/>
                <w:sz w:val="28"/>
                <w:szCs w:val="28"/>
                <w:lang w:val="en-US" w:eastAsia="zh-CN"/>
              </w:rPr>
              <w:t>6</w:t>
            </w:r>
          </w:p>
        </w:tc>
        <w:tc>
          <w:tcPr>
            <w:tcW w:w="1403" w:type="dxa"/>
            <w:noWrap w:val="0"/>
            <w:vAlign w:val="top"/>
          </w:tcPr>
          <w:p>
            <w:pPr>
              <w:rPr>
                <w:sz w:val="28"/>
                <w:szCs w:val="28"/>
              </w:rPr>
            </w:pPr>
          </w:p>
        </w:tc>
        <w:tc>
          <w:tcPr>
            <w:tcW w:w="1403"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jc w:val="center"/>
              <w:rPr>
                <w:sz w:val="28"/>
                <w:szCs w:val="28"/>
              </w:rPr>
            </w:pPr>
            <w:r>
              <w:rPr>
                <w:rFonts w:hint="eastAsia"/>
                <w:sz w:val="28"/>
                <w:szCs w:val="28"/>
              </w:rPr>
              <w:t>3</w:t>
            </w:r>
          </w:p>
        </w:tc>
        <w:tc>
          <w:tcPr>
            <w:tcW w:w="1403" w:type="dxa"/>
            <w:noWrap w:val="0"/>
            <w:vAlign w:val="top"/>
          </w:tcPr>
          <w:p>
            <w:pPr>
              <w:rPr>
                <w:sz w:val="28"/>
                <w:szCs w:val="28"/>
              </w:rPr>
            </w:pPr>
          </w:p>
        </w:tc>
        <w:tc>
          <w:tcPr>
            <w:tcW w:w="1403" w:type="dxa"/>
            <w:noWrap w:val="0"/>
            <w:vAlign w:val="top"/>
          </w:tcPr>
          <w:p>
            <w:pPr>
              <w:rPr>
                <w:sz w:val="28"/>
                <w:szCs w:val="28"/>
              </w:rPr>
            </w:pPr>
          </w:p>
        </w:tc>
        <w:tc>
          <w:tcPr>
            <w:tcW w:w="1403" w:type="dxa"/>
            <w:noWrap w:val="0"/>
            <w:vAlign w:val="top"/>
          </w:tcPr>
          <w:p>
            <w:pPr>
              <w:jc w:val="center"/>
              <w:rPr>
                <w:rFonts w:hint="eastAsia" w:eastAsiaTheme="minorEastAsia"/>
                <w:sz w:val="28"/>
                <w:szCs w:val="28"/>
                <w:lang w:eastAsia="zh-CN"/>
              </w:rPr>
            </w:pPr>
            <w:r>
              <w:rPr>
                <w:rFonts w:hint="eastAsia"/>
                <w:sz w:val="28"/>
                <w:szCs w:val="28"/>
                <w:lang w:val="en-US" w:eastAsia="zh-CN"/>
              </w:rPr>
              <w:t>7</w:t>
            </w:r>
          </w:p>
        </w:tc>
        <w:tc>
          <w:tcPr>
            <w:tcW w:w="1403" w:type="dxa"/>
            <w:noWrap w:val="0"/>
            <w:vAlign w:val="top"/>
          </w:tcPr>
          <w:p>
            <w:pPr>
              <w:rPr>
                <w:sz w:val="28"/>
                <w:szCs w:val="28"/>
              </w:rPr>
            </w:pPr>
          </w:p>
        </w:tc>
        <w:tc>
          <w:tcPr>
            <w:tcW w:w="1403" w:type="dxa"/>
            <w:noWrap w:val="0"/>
            <w:vAlign w:val="top"/>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noWrap w:val="0"/>
            <w:vAlign w:val="top"/>
          </w:tcPr>
          <w:p>
            <w:pPr>
              <w:jc w:val="center"/>
              <w:rPr>
                <w:sz w:val="28"/>
                <w:szCs w:val="28"/>
              </w:rPr>
            </w:pPr>
            <w:r>
              <w:rPr>
                <w:rFonts w:hint="eastAsia"/>
                <w:sz w:val="28"/>
                <w:szCs w:val="28"/>
              </w:rPr>
              <w:t>4</w:t>
            </w:r>
          </w:p>
        </w:tc>
        <w:tc>
          <w:tcPr>
            <w:tcW w:w="1403" w:type="dxa"/>
            <w:noWrap w:val="0"/>
            <w:vAlign w:val="top"/>
          </w:tcPr>
          <w:p>
            <w:pPr>
              <w:rPr>
                <w:sz w:val="28"/>
                <w:szCs w:val="28"/>
              </w:rPr>
            </w:pPr>
          </w:p>
        </w:tc>
        <w:tc>
          <w:tcPr>
            <w:tcW w:w="1403" w:type="dxa"/>
            <w:noWrap w:val="0"/>
            <w:vAlign w:val="top"/>
          </w:tcPr>
          <w:p>
            <w:pPr>
              <w:rPr>
                <w:sz w:val="28"/>
                <w:szCs w:val="28"/>
              </w:rPr>
            </w:pPr>
          </w:p>
        </w:tc>
        <w:tc>
          <w:tcPr>
            <w:tcW w:w="1403" w:type="dxa"/>
            <w:noWrap w:val="0"/>
            <w:vAlign w:val="top"/>
          </w:tcPr>
          <w:p>
            <w:pPr>
              <w:jc w:val="center"/>
              <w:rPr>
                <w:rFonts w:hint="eastAsia" w:eastAsiaTheme="minorEastAsia"/>
                <w:sz w:val="28"/>
                <w:szCs w:val="28"/>
                <w:lang w:eastAsia="zh-CN"/>
              </w:rPr>
            </w:pPr>
            <w:r>
              <w:rPr>
                <w:rFonts w:hint="eastAsia"/>
                <w:sz w:val="28"/>
                <w:szCs w:val="28"/>
                <w:lang w:val="en-US" w:eastAsia="zh-CN"/>
              </w:rPr>
              <w:t>8</w:t>
            </w:r>
          </w:p>
        </w:tc>
        <w:tc>
          <w:tcPr>
            <w:tcW w:w="1403" w:type="dxa"/>
            <w:noWrap w:val="0"/>
            <w:vAlign w:val="top"/>
          </w:tcPr>
          <w:p>
            <w:pPr>
              <w:rPr>
                <w:sz w:val="28"/>
                <w:szCs w:val="28"/>
              </w:rPr>
            </w:pPr>
          </w:p>
        </w:tc>
        <w:tc>
          <w:tcPr>
            <w:tcW w:w="1403" w:type="dxa"/>
            <w:noWrap w:val="0"/>
            <w:vAlign w:val="top"/>
          </w:tcPr>
          <w:p>
            <w:pPr>
              <w:rPr>
                <w:sz w:val="28"/>
                <w:szCs w:val="28"/>
              </w:rPr>
            </w:pPr>
          </w:p>
        </w:tc>
      </w:tr>
    </w:tbl>
    <w:p>
      <w:pPr>
        <w:rPr>
          <w:rFonts w:hint="default" w:ascii="宋体" w:hAnsi="宋体" w:cs="宋体" w:eastAsiaTheme="minorEastAsia"/>
          <w:bCs/>
          <w:sz w:val="30"/>
          <w:szCs w:val="30"/>
          <w:lang w:val="en-US" w:eastAsia="zh-CN"/>
        </w:rPr>
      </w:pPr>
      <w:r>
        <w:rPr>
          <w:rFonts w:hint="eastAsia" w:ascii="宋体" w:hAnsi="宋体" w:cs="宋体"/>
          <w:bCs/>
          <w:sz w:val="30"/>
          <w:szCs w:val="30"/>
        </w:rPr>
        <w:t>附件</w:t>
      </w:r>
      <w:r>
        <w:rPr>
          <w:rFonts w:hint="eastAsia" w:ascii="宋体" w:hAnsi="宋体" w:cs="宋体"/>
          <w:bCs/>
          <w:sz w:val="30"/>
          <w:szCs w:val="30"/>
          <w:lang w:val="en-US" w:eastAsia="zh-CN"/>
        </w:rPr>
        <w:t>3.</w:t>
      </w:r>
    </w:p>
    <w:p>
      <w:pPr>
        <w:pStyle w:val="8"/>
        <w:rPr>
          <w:rFonts w:hint="eastAsia"/>
          <w:b/>
        </w:rPr>
      </w:pPr>
      <w:r>
        <w:rPr>
          <w:rFonts w:hint="eastAsia"/>
          <w:b/>
        </w:rPr>
        <w:t>高等教育自学考试毕业证书电子注册</w:t>
      </w:r>
    </w:p>
    <w:p>
      <w:pPr>
        <w:pStyle w:val="8"/>
        <w:rPr>
          <w:b/>
        </w:rPr>
      </w:pPr>
      <w:r>
        <w:rPr>
          <w:rFonts w:hint="eastAsia"/>
          <w:b/>
        </w:rPr>
        <w:t>图像采集规范及信息标准</w:t>
      </w:r>
    </w:p>
    <w:p>
      <w:pPr>
        <w:pStyle w:val="9"/>
        <w:ind w:firstLine="640"/>
        <w:rPr>
          <w:rFonts w:hint="eastAsia"/>
        </w:rPr>
      </w:pPr>
    </w:p>
    <w:p>
      <w:pPr>
        <w:pStyle w:val="9"/>
        <w:ind w:firstLine="640"/>
      </w:pPr>
      <w:r>
        <w:rPr>
          <w:rFonts w:hint="eastAsia"/>
        </w:rPr>
        <w:t>一、基本要求</w:t>
      </w:r>
    </w:p>
    <w:p>
      <w:pPr>
        <w:pStyle w:val="10"/>
      </w:pPr>
      <w:r>
        <w:t>1.</w:t>
      </w:r>
      <w:r>
        <w:rPr>
          <w:rFonts w:hint="eastAsia"/>
        </w:rPr>
        <w:t>自学考试毕业证书电子注册图像应使用毕业生本人近期（一般为毕业前一年以内）正面免冠彩色头像的电子图像文件。</w:t>
      </w:r>
    </w:p>
    <w:p>
      <w:pPr>
        <w:pStyle w:val="10"/>
      </w:pPr>
      <w:r>
        <w:t>2.</w:t>
      </w:r>
      <w:r>
        <w:rPr>
          <w:rFonts w:hint="eastAsia"/>
        </w:rPr>
        <w:t>图像应真实表达毕业生本人相貌。禁止对图像整体或局部进行镜像、旋转等变换操作。不得对人像特征（如伤疤、痣、发型等）进行技术处理。</w:t>
      </w:r>
    </w:p>
    <w:p>
      <w:pPr>
        <w:pStyle w:val="10"/>
      </w:pPr>
      <w:r>
        <w:t>3.</w:t>
      </w:r>
      <w:r>
        <w:rPr>
          <w:rFonts w:hint="eastAsia"/>
        </w:rPr>
        <w:t>图像应对焦准确、层次清晰、色彩真实、无明显畸变。</w:t>
      </w:r>
    </w:p>
    <w:p>
      <w:pPr>
        <w:pStyle w:val="10"/>
      </w:pPr>
      <w:r>
        <w:t>4.</w:t>
      </w:r>
      <w:r>
        <w:rPr>
          <w:rFonts w:hint="eastAsia"/>
        </w:rPr>
        <w:t>除头像外，不得添加边框、文字、图案等其他内容。</w:t>
      </w:r>
    </w:p>
    <w:p>
      <w:pPr>
        <w:pStyle w:val="9"/>
        <w:ind w:firstLine="640"/>
      </w:pPr>
      <w:r>
        <w:rPr>
          <w:rFonts w:hint="eastAsia"/>
        </w:rPr>
        <w:t>二、拍照要求</w:t>
      </w:r>
    </w:p>
    <w:p>
      <w:pPr>
        <w:pStyle w:val="10"/>
      </w:pPr>
      <w:r>
        <w:t>1.</w:t>
      </w:r>
      <w:r>
        <w:rPr>
          <w:rFonts w:hint="eastAsia"/>
        </w:rPr>
        <w:t>背景：应均匀无渐变，不得有阴影、其他人或物体。可选用浅蓝色（参考值</w:t>
      </w:r>
      <w:r>
        <w:t>RGB&lt;100,197,255&gt;</w:t>
      </w:r>
      <w:r>
        <w:rPr>
          <w:rFonts w:hint="eastAsia"/>
        </w:rPr>
        <w:t>）、白色（参考值</w:t>
      </w:r>
      <w:r>
        <w:t>RGB&lt;255,255,255&gt;</w:t>
      </w:r>
      <w:r>
        <w:rPr>
          <w:rFonts w:hint="eastAsia"/>
        </w:rPr>
        <w:t>）或浅灰色（参考值</w:t>
      </w:r>
      <w:r>
        <w:t>RGB&lt;240,240,240&gt;</w:t>
      </w:r>
      <w:r>
        <w:rPr>
          <w:rFonts w:hint="eastAsia"/>
        </w:rPr>
        <w:t>）。</w:t>
      </w:r>
    </w:p>
    <w:p>
      <w:pPr>
        <w:pStyle w:val="10"/>
      </w:pPr>
      <w:r>
        <w:t>2.</w:t>
      </w:r>
      <w:r>
        <w:rPr>
          <w:rFonts w:hint="eastAsia"/>
        </w:rPr>
        <w:t>人物姿态与表情：坐姿端正，表情自然，双眼自然睁开并平视，耳朵对称，左右肩膀平衡，嘴唇自然闭合。</w:t>
      </w:r>
    </w:p>
    <w:p>
      <w:pPr>
        <w:pStyle w:val="10"/>
      </w:pPr>
      <w:r>
        <w:t>3.</w:t>
      </w:r>
      <w:r>
        <w:rPr>
          <w:rFonts w:hint="eastAsia"/>
        </w:rPr>
        <w:t>眼镜：常戴眼镜者应佩戴眼镜，但不得戴有色（含隐形）眼镜，镜框不得遮挡眼睛，眼镜不能有反光。</w:t>
      </w:r>
    </w:p>
    <w:p>
      <w:pPr>
        <w:pStyle w:val="10"/>
      </w:pPr>
      <w:r>
        <w:t>4.</w:t>
      </w:r>
      <w:r>
        <w:rPr>
          <w:rFonts w:hint="eastAsia"/>
        </w:rPr>
        <w:t>佩饰及遮挡物：不得使用头部覆盖物（宗教、医疗和文化需要时，不得遮挡脸部或造成阴影）。不得佩戴耳环、项链等饰品。头发不得遮挡眉毛、眼睛和耳朵。不宜化妆。</w:t>
      </w:r>
    </w:p>
    <w:p>
      <w:pPr>
        <w:pStyle w:val="10"/>
      </w:pPr>
      <w:r>
        <w:t>5.</w:t>
      </w:r>
      <w:r>
        <w:rPr>
          <w:rFonts w:hint="eastAsia"/>
        </w:rPr>
        <w:t>衣着：应与背景色区分明显。避免复杂图案、条纹。</w:t>
      </w:r>
    </w:p>
    <w:p>
      <w:pPr>
        <w:pStyle w:val="9"/>
        <w:ind w:firstLine="640"/>
      </w:pPr>
      <w:r>
        <w:rPr>
          <w:rFonts w:hint="eastAsia"/>
        </w:rPr>
        <w:t>三、照明光线</w:t>
      </w:r>
    </w:p>
    <w:p>
      <w:pPr>
        <w:pStyle w:val="10"/>
      </w:pPr>
      <w:r>
        <w:t>1.</w:t>
      </w:r>
      <w:r>
        <w:rPr>
          <w:rFonts w:hint="eastAsia"/>
        </w:rPr>
        <w:t>照明光线均匀，脸部曝光均匀，无明显可见或不对称的高光、光斑，无红眼。</w:t>
      </w:r>
    </w:p>
    <w:p>
      <w:pPr>
        <w:pStyle w:val="10"/>
      </w:pPr>
      <w:r>
        <w:t>2.</w:t>
      </w:r>
      <w:r>
        <w:rPr>
          <w:rFonts w:hint="eastAsia"/>
        </w:rPr>
        <w:t>建议配置光源两只（色温</w:t>
      </w:r>
      <w:r>
        <w:t>5500K-5600K</w:t>
      </w:r>
      <w:r>
        <w:rPr>
          <w:rFonts w:hint="eastAsia"/>
        </w:rPr>
        <w:t>），摆设高度与被拍摄人肩部同高，角度为左右各</w:t>
      </w:r>
      <w:r>
        <w:t>45</w:t>
      </w:r>
      <w:r>
        <w:rPr>
          <w:rFonts w:hint="eastAsia"/>
        </w:rPr>
        <w:t>度，朝向对准被拍摄人头部，距离被拍摄人</w:t>
      </w:r>
      <w:r>
        <w:t>1.5</w:t>
      </w:r>
      <w:r>
        <w:rPr>
          <w:rFonts w:hint="eastAsia"/>
        </w:rPr>
        <w:t>米</w:t>
      </w:r>
      <w:r>
        <w:t>-2</w:t>
      </w:r>
      <w:r>
        <w:rPr>
          <w:rFonts w:hint="eastAsia"/>
        </w:rPr>
        <w:t>米。</w:t>
      </w:r>
    </w:p>
    <w:p>
      <w:pPr>
        <w:pStyle w:val="9"/>
        <w:ind w:firstLine="640"/>
      </w:pPr>
      <w:r>
        <w:rPr>
          <w:rFonts w:hint="eastAsia"/>
        </w:rPr>
        <w:t>四、电子图像文件</w:t>
      </w:r>
    </w:p>
    <w:p>
      <w:pPr>
        <w:pStyle w:val="10"/>
      </w:pPr>
      <w:r>
        <w:t>1.</w:t>
      </w:r>
      <w:r>
        <w:rPr>
          <w:rFonts w:hint="eastAsia"/>
        </w:rPr>
        <w:t>电子图像文件规格为宽</w:t>
      </w:r>
      <w:r>
        <w:t>480</w:t>
      </w:r>
      <w:r>
        <w:rPr>
          <w:rFonts w:hint="eastAsia"/>
        </w:rPr>
        <w:t>像素</w:t>
      </w:r>
      <w:r>
        <w:t>*</w:t>
      </w:r>
      <w:r>
        <w:rPr>
          <w:rFonts w:hint="eastAsia"/>
        </w:rPr>
        <w:t>高</w:t>
      </w:r>
      <w:r>
        <w:t>640</w:t>
      </w:r>
      <w:r>
        <w:rPr>
          <w:rFonts w:hint="eastAsia"/>
        </w:rPr>
        <w:t>像素，分辨率</w:t>
      </w:r>
      <w:r>
        <w:t>300dpi</w:t>
      </w:r>
      <w:r>
        <w:rPr>
          <w:rFonts w:hint="eastAsia"/>
        </w:rPr>
        <w:t>，</w:t>
      </w:r>
      <w:r>
        <w:t>24</w:t>
      </w:r>
      <w:r>
        <w:rPr>
          <w:rFonts w:hint="eastAsia"/>
        </w:rPr>
        <w:t>位真彩色。应符合</w:t>
      </w:r>
      <w:r>
        <w:t>JPEG</w:t>
      </w:r>
      <w:r>
        <w:rPr>
          <w:rFonts w:hint="eastAsia"/>
        </w:rPr>
        <w:t>标准，压缩品质系数不低于</w:t>
      </w:r>
      <w:r>
        <w:t>60</w:t>
      </w:r>
      <w:r>
        <w:rPr>
          <w:rFonts w:hint="eastAsia"/>
        </w:rPr>
        <w:t>，压缩后文件大小一般在</w:t>
      </w:r>
      <w:r>
        <w:t>20KB</w:t>
      </w:r>
      <w:r>
        <w:rPr>
          <w:rFonts w:hint="eastAsia"/>
        </w:rPr>
        <w:t>至</w:t>
      </w:r>
      <w:r>
        <w:t>40KB</w:t>
      </w:r>
      <w:r>
        <w:rPr>
          <w:rFonts w:hint="eastAsia"/>
        </w:rPr>
        <w:t>。文件扩展名应为</w:t>
      </w:r>
      <w:r>
        <w:t>JPG</w:t>
      </w:r>
      <w:r>
        <w:rPr>
          <w:rFonts w:hint="eastAsia"/>
        </w:rPr>
        <w:t>。</w:t>
      </w:r>
    </w:p>
    <w:p>
      <w:pPr>
        <w:pStyle w:val="10"/>
      </w:pPr>
      <w:r>
        <w:t>2.</w:t>
      </w:r>
      <w:r>
        <w:rPr>
          <w:rFonts w:hint="eastAsia"/>
        </w:rPr>
        <w:t>人像在图像矩形框内水平居中，左右对称。头顶发际距上边沿</w:t>
      </w:r>
      <w:r>
        <w:t>50</w:t>
      </w:r>
      <w:r>
        <w:rPr>
          <w:rFonts w:hint="eastAsia"/>
        </w:rPr>
        <w:t>像素至</w:t>
      </w:r>
      <w:r>
        <w:t>110</w:t>
      </w:r>
      <w:r>
        <w:rPr>
          <w:rFonts w:hint="eastAsia"/>
        </w:rPr>
        <w:t>像素；眼睛所在位置距上边沿</w:t>
      </w:r>
      <w:r>
        <w:t>200</w:t>
      </w:r>
      <w:r>
        <w:rPr>
          <w:rFonts w:hint="eastAsia"/>
        </w:rPr>
        <w:t>像素至</w:t>
      </w:r>
      <w:r>
        <w:t>300</w:t>
      </w:r>
      <w:r>
        <w:rPr>
          <w:rFonts w:hint="eastAsia"/>
        </w:rPr>
        <w:t>像素；脸部宽度（两脸颊之间）</w:t>
      </w:r>
      <w:r>
        <w:t>180</w:t>
      </w:r>
      <w:r>
        <w:rPr>
          <w:rFonts w:hint="eastAsia"/>
        </w:rPr>
        <w:t>像素至</w:t>
      </w:r>
      <w:r>
        <w:t>300</w:t>
      </w:r>
      <w:r>
        <w:rPr>
          <w:rFonts w:hint="eastAsia"/>
        </w:rPr>
        <w:t>像素。</w:t>
      </w:r>
    </w:p>
    <w:p>
      <w:pPr>
        <w:rPr>
          <w:rFonts w:hint="eastAsia" w:ascii="宋体" w:hAnsi="宋体" w:cs="宋体"/>
          <w:b/>
          <w:sz w:val="30"/>
          <w:szCs w:val="30"/>
        </w:rPr>
      </w:pPr>
      <w:r>
        <w:rPr>
          <w:rFonts w:hint="eastAsia" w:ascii="宋体" w:hAnsi="宋体" w:cs="宋体"/>
          <w:b/>
          <w:sz w:val="30"/>
          <w:szCs w:val="30"/>
        </w:rPr>
        <w:br w:type="page"/>
      </w:r>
    </w:p>
    <w:p>
      <w:pPr>
        <w:rPr>
          <w:rFonts w:ascii="宋体" w:hAnsi="宋体" w:cs="宋体"/>
          <w:b w:val="0"/>
          <w:bCs/>
          <w:sz w:val="30"/>
          <w:szCs w:val="30"/>
        </w:rPr>
      </w:pPr>
      <w:r>
        <w:rPr>
          <w:rFonts w:hint="eastAsia" w:ascii="宋体" w:hAnsi="宋体" w:cs="宋体"/>
          <w:b w:val="0"/>
          <w:bCs/>
          <w:sz w:val="30"/>
          <w:szCs w:val="30"/>
        </w:rPr>
        <w:t>附件</w:t>
      </w:r>
      <w:r>
        <w:rPr>
          <w:rFonts w:hint="eastAsia" w:ascii="宋体" w:hAnsi="宋体" w:cs="宋体"/>
          <w:b w:val="0"/>
          <w:bCs/>
          <w:sz w:val="30"/>
          <w:szCs w:val="30"/>
          <w:lang w:val="en-US" w:eastAsia="zh-CN"/>
        </w:rPr>
        <w:t>4</w:t>
      </w:r>
      <w:r>
        <w:rPr>
          <w:rFonts w:hint="eastAsia" w:ascii="宋体" w:hAnsi="宋体" w:cs="宋体"/>
          <w:b w:val="0"/>
          <w:bCs/>
          <w:sz w:val="30"/>
          <w:szCs w:val="30"/>
        </w:rPr>
        <w:t>.</w:t>
      </w:r>
    </w:p>
    <w:p>
      <w:pPr>
        <w:rPr>
          <w:sz w:val="24"/>
        </w:rPr>
      </w:pPr>
    </w:p>
    <w:p>
      <w:pPr>
        <w:jc w:val="center"/>
        <w:rPr>
          <w:rFonts w:hint="eastAsia" w:ascii="方正小标宋_GBK" w:hAnsi="方正小标宋_GBK" w:eastAsia="方正小标宋_GBK"/>
          <w:b/>
          <w:sz w:val="36"/>
          <w:szCs w:val="36"/>
        </w:rPr>
      </w:pPr>
      <w:r>
        <w:rPr>
          <w:rFonts w:hint="eastAsia" w:ascii="方正小标宋_GBK" w:hAnsi="方正小标宋_GBK" w:eastAsia="方正小标宋_GBK"/>
          <w:b/>
          <w:sz w:val="36"/>
          <w:szCs w:val="36"/>
        </w:rPr>
        <w:t>湖北省高等教育自学考试毕业申请现场确认委托书</w:t>
      </w:r>
    </w:p>
    <w:p>
      <w:pPr>
        <w:jc w:val="center"/>
        <w:rPr>
          <w:rFonts w:hint="eastAsia" w:ascii="楷体_GB2312" w:hAnsi="楷体_GB2312" w:eastAsia="楷体_GB2312" w:cs="楷体_GB2312"/>
          <w:bCs/>
          <w:sz w:val="30"/>
          <w:szCs w:val="30"/>
        </w:rPr>
      </w:pPr>
      <w:r>
        <w:rPr>
          <w:rFonts w:hint="eastAsia" w:ascii="楷体_GB2312" w:hAnsi="楷体_GB2312" w:eastAsia="楷体_GB2312" w:cs="楷体_GB2312"/>
          <w:bCs/>
          <w:sz w:val="30"/>
          <w:szCs w:val="30"/>
        </w:rPr>
        <w:t>（本委托书正文须考生本人书写，不得由他人代填）</w:t>
      </w:r>
    </w:p>
    <w:p>
      <w:pPr>
        <w:jc w:val="center"/>
        <w:rPr>
          <w:rFonts w:ascii="宋体" w:hAnsi="宋体" w:cs="Arial"/>
          <w:spacing w:val="15"/>
          <w:sz w:val="32"/>
          <w:szCs w:val="32"/>
        </w:rPr>
      </w:pPr>
    </w:p>
    <w:p>
      <w:pPr>
        <w:spacing w:line="500" w:lineRule="exact"/>
        <w:ind w:firstLine="760"/>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本人</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，身份证号：</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，自学考试准考证号：</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，因个人原因无法到考籍所在地现场办理自学考试毕业申请现场确认手续，特委托</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，身份证号：</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代我办理现场确认手续。</w:t>
      </w:r>
    </w:p>
    <w:p>
      <w:pPr>
        <w:spacing w:line="500" w:lineRule="exact"/>
        <w:ind w:firstLine="760"/>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本人和被委托人承诺，将逐项核实本人自学考试毕业申请的基本信息（含电子照片）。因被委托人信息确认错误带来的问题和后果，本人完全知晓，相关责任和后果由我本人完全承担。</w:t>
      </w:r>
    </w:p>
    <w:p>
      <w:pPr>
        <w:spacing w:line="500" w:lineRule="exact"/>
        <w:rPr>
          <w:rFonts w:hint="eastAsia" w:ascii="仿宋_GB2312" w:hAnsi="仿宋_GB2312" w:eastAsia="仿宋_GB2312" w:cs="仿宋_GB2312"/>
          <w:spacing w:val="15"/>
          <w:sz w:val="32"/>
          <w:szCs w:val="32"/>
        </w:rPr>
      </w:pPr>
    </w:p>
    <w:p>
      <w:pPr>
        <w:spacing w:line="500" w:lineRule="exact"/>
        <w:rPr>
          <w:rFonts w:hint="eastAsia" w:ascii="仿宋_GB2312" w:hAnsi="仿宋_GB2312" w:eastAsia="仿宋_GB2312" w:cs="仿宋_GB2312"/>
          <w:spacing w:val="15"/>
          <w:sz w:val="32"/>
          <w:szCs w:val="32"/>
          <w:u w:val="single"/>
        </w:rPr>
      </w:pPr>
      <w:r>
        <w:rPr>
          <w:rFonts w:hint="eastAsia" w:ascii="仿宋_GB2312" w:hAnsi="仿宋_GB2312" w:eastAsia="仿宋_GB2312" w:cs="仿宋_GB2312"/>
          <w:spacing w:val="15"/>
          <w:sz w:val="32"/>
          <w:szCs w:val="32"/>
        </w:rPr>
        <w:t xml:space="preserve">                     委托人签名：</w:t>
      </w:r>
      <w:r>
        <w:rPr>
          <w:rFonts w:hint="eastAsia" w:ascii="仿宋_GB2312" w:hAnsi="仿宋_GB2312" w:eastAsia="仿宋_GB2312" w:cs="仿宋_GB2312"/>
          <w:spacing w:val="15"/>
          <w:sz w:val="32"/>
          <w:szCs w:val="32"/>
          <w:u w:val="single"/>
        </w:rPr>
        <w:t xml:space="preserve">           </w:t>
      </w:r>
    </w:p>
    <w:p>
      <w:pPr>
        <w:spacing w:line="500" w:lineRule="exact"/>
        <w:rPr>
          <w:rFonts w:hint="eastAsia" w:ascii="仿宋_GB2312" w:hAnsi="仿宋_GB2312" w:eastAsia="仿宋_GB2312" w:cs="仿宋_GB2312"/>
          <w:spacing w:val="15"/>
          <w:sz w:val="32"/>
          <w:szCs w:val="32"/>
          <w:u w:val="single"/>
        </w:rPr>
      </w:pPr>
      <w:r>
        <w:rPr>
          <w:rFonts w:hint="eastAsia" w:ascii="仿宋_GB2312" w:hAnsi="仿宋_GB2312" w:eastAsia="仿宋_GB2312" w:cs="仿宋_GB2312"/>
          <w:spacing w:val="15"/>
          <w:sz w:val="32"/>
          <w:szCs w:val="32"/>
        </w:rPr>
        <w:t xml:space="preserve">                     被委托人签名：</w:t>
      </w:r>
      <w:r>
        <w:rPr>
          <w:rFonts w:hint="eastAsia" w:ascii="仿宋_GB2312" w:hAnsi="仿宋_GB2312" w:eastAsia="仿宋_GB2312" w:cs="仿宋_GB2312"/>
          <w:spacing w:val="15"/>
          <w:sz w:val="32"/>
          <w:szCs w:val="32"/>
          <w:u w:val="single"/>
        </w:rPr>
        <w:t xml:space="preserve">           </w:t>
      </w: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15"/>
          <w:sz w:val="32"/>
          <w:szCs w:val="32"/>
        </w:rPr>
        <w:t xml:space="preserve">                     委托日期：</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5"/>
          <w:sz w:val="32"/>
          <w:szCs w:val="32"/>
          <w:u w:val="single"/>
        </w:rPr>
        <w:t xml:space="preserve">  </w:t>
      </w:r>
      <w:r>
        <w:rPr>
          <w:rFonts w:hint="eastAsia" w:ascii="仿宋_GB2312" w:hAnsi="仿宋_GB2312" w:eastAsia="仿宋_GB2312" w:cs="仿宋_GB2312"/>
          <w:spacing w:val="15"/>
          <w:sz w:val="32"/>
          <w:szCs w:val="32"/>
        </w:rPr>
        <w:t>日</w:t>
      </w:r>
    </w:p>
    <w:p>
      <w:pPr>
        <w:rPr>
          <w:rFonts w:hint="eastAsia" w:ascii="仿宋_GB2312" w:hAnsi="仿宋_GB2312" w:eastAsia="仿宋_GB2312" w:cs="仿宋_GB2312"/>
        </w:rPr>
      </w:pPr>
    </w:p>
    <w:p>
      <w:pPr>
        <w:pStyle w:val="2"/>
        <w:widowControl/>
        <w:spacing w:after="300" w:afterAutospacing="0" w:line="390" w:lineRule="atLeast"/>
        <w:rPr>
          <w:rFonts w:hint="eastAsia" w:ascii="仿宋_GB2312" w:hAnsi="仿宋_GB2312" w:eastAsia="仿宋_GB2312" w:cs="仿宋_GB2312"/>
          <w:color w:val="000000"/>
          <w:spacing w:val="15"/>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2722245</wp:posOffset>
                </wp:positionH>
                <wp:positionV relativeFrom="paragraph">
                  <wp:posOffset>198120</wp:posOffset>
                </wp:positionV>
                <wp:extent cx="2803525" cy="1687195"/>
                <wp:effectExtent l="4445" t="4445" r="11430" b="22860"/>
                <wp:wrapNone/>
                <wp:docPr id="2" name="文本框 2"/>
                <wp:cNvGraphicFramePr/>
                <a:graphic xmlns:a="http://schemas.openxmlformats.org/drawingml/2006/main">
                  <a:graphicData uri="http://schemas.microsoft.com/office/word/2010/wordprocessingShape">
                    <wps:wsp>
                      <wps:cNvSpPr txBox="1"/>
                      <wps:spPr>
                        <a:xfrm>
                          <a:off x="0" y="0"/>
                          <a:ext cx="2803525" cy="1687195"/>
                        </a:xfrm>
                        <a:prstGeom prst="rect">
                          <a:avLst/>
                        </a:prstGeom>
                        <a:solidFill>
                          <a:srgbClr val="FFFFFF"/>
                        </a:solidFill>
                        <a:ln w="6350">
                          <a:solidFill>
                            <a:prstClr val="black"/>
                          </a:solidFill>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被委托人身份证复印件</w:t>
                            </w:r>
                          </w:p>
                          <w:p>
                            <w:pPr>
                              <w:jc w:val="center"/>
                            </w:pPr>
                            <w:r>
                              <w:rPr>
                                <w:rFonts w:hint="eastAsia"/>
                              </w:rPr>
                              <w:t>正面粘贴处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35pt;margin-top:15.6pt;height:132.85pt;width:220.75pt;z-index:251660288;mso-width-relative:page;mso-height-relative:page;" fillcolor="#FFFFFF" filled="t" stroked="t" coordsize="21600,21600" o:gfxdata="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10fIQ2AAAAAoBAAAPAAAAAAAAAAEAIAAAACIAAABkcnMvZG93bnJldi54bWxQSwECFAAUAAAA&#10;CACHTuJA+xeSrWACAADGBAAADgAAAAAAAAABACAAAAAnAQAAZHJzL2Uyb0RvYy54bWxQSwUGAAAA&#10;AAYABgBZAQAA+QUAAAAA&#10;">
                <v:fill on="t" focussize="0,0"/>
                <v:stroke weight="0.5pt" color="#000000" joinstyle="round"/>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被委托人身份证复印件</w:t>
                      </w:r>
                    </w:p>
                    <w:p>
                      <w:pPr>
                        <w:jc w:val="center"/>
                      </w:pPr>
                      <w:r>
                        <w:rPr>
                          <w:rFonts w:hint="eastAsia"/>
                        </w:rPr>
                        <w:t>正面粘贴处</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-237490</wp:posOffset>
                </wp:positionH>
                <wp:positionV relativeFrom="paragraph">
                  <wp:posOffset>213360</wp:posOffset>
                </wp:positionV>
                <wp:extent cx="2803525" cy="1687195"/>
                <wp:effectExtent l="4445" t="4445" r="11430" b="22860"/>
                <wp:wrapNone/>
                <wp:docPr id="1" name="文本框 1"/>
                <wp:cNvGraphicFramePr/>
                <a:graphic xmlns:a="http://schemas.openxmlformats.org/drawingml/2006/main">
                  <a:graphicData uri="http://schemas.microsoft.com/office/word/2010/wordprocessingShape">
                    <wps:wsp>
                      <wps:cNvSpPr txBox="1"/>
                      <wps:spPr>
                        <a:xfrm>
                          <a:off x="667385" y="7153275"/>
                          <a:ext cx="2803525" cy="1687195"/>
                        </a:xfrm>
                        <a:prstGeom prst="rect">
                          <a:avLst/>
                        </a:prstGeom>
                        <a:solidFill>
                          <a:srgbClr val="FFFFFF"/>
                        </a:solidFill>
                        <a:ln w="6350">
                          <a:solidFill>
                            <a:prstClr val="black"/>
                          </a:solidFill>
                        </a:ln>
                        <a:effectLst/>
                      </wps:spPr>
                      <wps:txbx>
                        <w:txbxContent>
                          <w:p>
                            <w:pPr>
                              <w:rPr>
                                <w:rFonts w:hint="eastAsia"/>
                              </w:rPr>
                            </w:pPr>
                          </w:p>
                          <w:p>
                            <w:pPr>
                              <w:rPr>
                                <w:rFonts w:hint="eastAsia"/>
                              </w:rPr>
                            </w:pPr>
                          </w:p>
                          <w:p>
                            <w:pPr>
                              <w:rPr>
                                <w:rFonts w:hint="eastAsia"/>
                              </w:rPr>
                            </w:pPr>
                          </w:p>
                          <w:p>
                            <w:pPr>
                              <w:jc w:val="center"/>
                              <w:rPr>
                                <w:rFonts w:hint="eastAsia"/>
                              </w:rPr>
                            </w:pPr>
                            <w:r>
                              <w:rPr>
                                <w:rFonts w:hint="eastAsia"/>
                              </w:rPr>
                              <w:t>委托人（考生本人）身份证复印件</w:t>
                            </w:r>
                          </w:p>
                          <w:p>
                            <w:pPr>
                              <w:jc w:val="center"/>
                              <w:rPr>
                                <w:rFonts w:hint="eastAsia"/>
                              </w:rPr>
                            </w:pPr>
                            <w:r>
                              <w:rPr>
                                <w:rFonts w:hint="eastAsia"/>
                              </w:rPr>
                              <w:t>正面粘贴处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pt;margin-top:16.8pt;height:132.85pt;width:220.75pt;z-index:251659264;mso-width-relative:page;mso-height-relative:page;" fillcolor="#FFFFFF" filled="t" stroked="t" coordsize="21600,21600" o:gfxdata="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RTbz9gAAAAKAQAADwAAAAAAAAABACAAAAAiAAAAZHJzL2Rvd25yZXYueG1s&#10;UEsBAhQAFAAAAAgAh07iQAgMYPtqAgAA0QQAAA4AAAAAAAAAAQAgAAAAJwEAAGRycy9lMm9Eb2Mu&#10;eG1sUEsFBgAAAAAGAAYAWQEAAAMGAAAAAA==&#10;">
                <v:fill on="t" focussize="0,0"/>
                <v:stroke weight="0.5pt" color="#000000" joinstyle="round"/>
                <v:imagedata o:title=""/>
                <o:lock v:ext="edit" aspectratio="f"/>
                <v:textbox>
                  <w:txbxContent>
                    <w:p>
                      <w:pPr>
                        <w:rPr>
                          <w:rFonts w:hint="eastAsia"/>
                        </w:rPr>
                      </w:pPr>
                    </w:p>
                    <w:p>
                      <w:pPr>
                        <w:rPr>
                          <w:rFonts w:hint="eastAsia"/>
                        </w:rPr>
                      </w:pPr>
                    </w:p>
                    <w:p>
                      <w:pPr>
                        <w:rPr>
                          <w:rFonts w:hint="eastAsia"/>
                        </w:rPr>
                      </w:pPr>
                    </w:p>
                    <w:p>
                      <w:pPr>
                        <w:jc w:val="center"/>
                        <w:rPr>
                          <w:rFonts w:hint="eastAsia"/>
                        </w:rPr>
                      </w:pPr>
                      <w:r>
                        <w:rPr>
                          <w:rFonts w:hint="eastAsia"/>
                        </w:rPr>
                        <w:t>委托人（考生本人）身份证复印件</w:t>
                      </w:r>
                    </w:p>
                    <w:p>
                      <w:pPr>
                        <w:jc w:val="center"/>
                        <w:rPr>
                          <w:rFonts w:hint="eastAsia"/>
                        </w:rPr>
                      </w:pPr>
                      <w:r>
                        <w:rPr>
                          <w:rFonts w:hint="eastAsia"/>
                        </w:rPr>
                        <w:t>正面粘贴处</w:t>
                      </w:r>
                    </w:p>
                  </w:txbxContent>
                </v:textbox>
              </v:shape>
            </w:pict>
          </mc:Fallback>
        </mc:AlternateContent>
      </w:r>
    </w:p>
    <w:p/>
    <w:p/>
    <w:p>
      <w:pPr>
        <w:pStyle w:val="2"/>
        <w:widowControl/>
        <w:spacing w:after="300" w:afterAutospacing="0" w:line="390" w:lineRule="atLeast"/>
        <w:rPr>
          <w:rFonts w:ascii="Arial" w:hAnsi="Arial" w:cs="Arial"/>
          <w:color w:val="000000"/>
          <w:spacing w:val="15"/>
          <w:sz w:val="21"/>
          <w:szCs w:val="21"/>
        </w:rPr>
      </w:pPr>
    </w:p>
    <w:p>
      <w:pPr>
        <w:rPr>
          <w:rFonts w:hint="eastAsia"/>
        </w:rPr>
      </w:pPr>
    </w:p>
    <w:p>
      <w:pPr>
        <w:rPr>
          <w:rFonts w:hint="eastAsia"/>
        </w:rPr>
      </w:pPr>
    </w:p>
    <w:p>
      <w:pPr>
        <w:rPr>
          <w:rFonts w:hint="eastAsia" w:ascii="宋体" w:hAnsi="宋体" w:cs="宋体"/>
          <w:b/>
          <w:sz w:val="30"/>
          <w:szCs w:val="30"/>
        </w:rPr>
      </w:pPr>
    </w:p>
    <w:p>
      <w:pPr>
        <w:rPr>
          <w:rFonts w:hint="eastAsia" w:ascii="宋体" w:hAnsi="宋体" w:cs="宋体"/>
          <w:b/>
          <w:sz w:val="30"/>
          <w:szCs w:val="30"/>
        </w:rPr>
      </w:pPr>
    </w:p>
    <w:p>
      <w:pPr>
        <w:rPr>
          <w:rFonts w:ascii="宋体" w:hAnsi="宋体" w:cs="宋体"/>
          <w:b w:val="0"/>
          <w:bCs/>
          <w:sz w:val="30"/>
          <w:szCs w:val="30"/>
        </w:rPr>
      </w:pPr>
      <w:r>
        <w:rPr>
          <w:rFonts w:hint="eastAsia" w:ascii="宋体" w:hAnsi="宋体" w:cs="宋体"/>
          <w:b w:val="0"/>
          <w:bCs/>
          <w:sz w:val="30"/>
          <w:szCs w:val="30"/>
        </w:rPr>
        <w:t>附件</w:t>
      </w:r>
      <w:r>
        <w:rPr>
          <w:rFonts w:hint="eastAsia" w:ascii="宋体" w:hAnsi="宋体" w:cs="宋体"/>
          <w:b w:val="0"/>
          <w:bCs/>
          <w:sz w:val="30"/>
          <w:szCs w:val="30"/>
          <w:lang w:val="en-US" w:eastAsia="zh-CN"/>
        </w:rPr>
        <w:t>5</w:t>
      </w:r>
      <w:r>
        <w:rPr>
          <w:rFonts w:hint="eastAsia" w:ascii="宋体" w:hAnsi="宋体" w:cs="宋体"/>
          <w:b w:val="0"/>
          <w:bCs/>
          <w:sz w:val="30"/>
          <w:szCs w:val="30"/>
        </w:rPr>
        <w:t>.</w:t>
      </w:r>
    </w:p>
    <w:p>
      <w:pPr>
        <w:shd w:val="solid" w:color="FFFFFF" w:fill="auto"/>
        <w:autoSpaceDN w:val="0"/>
        <w:spacing w:line="360" w:lineRule="atLeast"/>
        <w:jc w:val="center"/>
        <w:rPr>
          <w:rFonts w:ascii="微软雅黑"/>
          <w:b/>
          <w:color w:val="0066AA"/>
          <w:sz w:val="30"/>
          <w:shd w:val="clear" w:color="auto" w:fill="FFFFFF"/>
        </w:rPr>
      </w:pPr>
      <w:r>
        <w:rPr>
          <w:rFonts w:ascii="微软雅黑"/>
          <w:b/>
          <w:color w:val="0066AA"/>
          <w:sz w:val="30"/>
          <w:shd w:val="clear" w:color="auto" w:fill="FFFFFF"/>
        </w:rPr>
        <w:t>湖北省人民政府学位委员会关于进一步加强学士学位管理保证学位授予质量的通知</w:t>
      </w:r>
    </w:p>
    <w:p>
      <w:pPr>
        <w:shd w:val="solid" w:color="EBF1F2" w:fill="auto"/>
        <w:autoSpaceDN w:val="0"/>
        <w:spacing w:line="525" w:lineRule="atLeast"/>
        <w:rPr>
          <w:rFonts w:ascii="微软雅黑"/>
          <w:color w:val="000000"/>
          <w:shd w:val="clear" w:color="auto" w:fill="FFFFFF"/>
        </w:rPr>
      </w:pPr>
      <w:r>
        <w:rPr>
          <w:rFonts w:ascii="仿宋"/>
          <w:color w:val="000000"/>
          <w:sz w:val="28"/>
          <w:shd w:val="clear" w:color="auto" w:fill="FFFFFF"/>
        </w:rPr>
        <w:t>各学位授予单位：</w:t>
      </w:r>
    </w:p>
    <w:p>
      <w:pPr>
        <w:shd w:val="solid" w:color="FFFFFF" w:fill="auto"/>
        <w:autoSpaceDN w:val="0"/>
        <w:spacing w:line="520" w:lineRule="atLeast"/>
        <w:ind w:firstLine="549"/>
        <w:jc w:val="left"/>
        <w:rPr>
          <w:rFonts w:ascii="微软雅黑"/>
          <w:color w:val="000000"/>
          <w:shd w:val="clear" w:color="auto" w:fill="FFFFFF"/>
        </w:rPr>
      </w:pPr>
      <w:r>
        <w:rPr>
          <w:rFonts w:ascii="仿宋"/>
          <w:color w:val="000000"/>
          <w:sz w:val="28"/>
          <w:shd w:val="clear" w:color="auto" w:fill="FFFFFF"/>
        </w:rPr>
        <w:t>学士学位是三级学位中最基础的学位，在中国学位制度中具有重要的地位。改革开放三十多年来，我国高等教育的改革与发展发生了深刻变化，教育质量显著提高。但在新的时期下，学士学位工作出现了一些新情况、新问题。为进一步加强学士学位授予工作的管理，提高学位授予工作的质量，保障受教育者合法权益，根据《中华人民共和国学位条例》（以下简称《学位条例》）、《中华人民共和国学位条例暂行实施办法》（以下简称《实施办法》）等法律、法规、规章以及有关规定，结合我省实际情况，现就规范和加强学士学位管理工作通知如下。</w:t>
      </w:r>
    </w:p>
    <w:p>
      <w:pPr>
        <w:shd w:val="solid" w:color="FFFFFF" w:fill="auto"/>
        <w:autoSpaceDN w:val="0"/>
        <w:spacing w:line="520" w:lineRule="atLeast"/>
        <w:ind w:firstLine="549"/>
        <w:jc w:val="left"/>
        <w:rPr>
          <w:rFonts w:ascii="微软雅黑"/>
          <w:color w:val="000000"/>
          <w:shd w:val="clear" w:color="auto" w:fill="FFFFFF"/>
        </w:rPr>
      </w:pPr>
      <w:r>
        <w:rPr>
          <w:rFonts w:ascii="仿宋"/>
          <w:color w:val="000000"/>
          <w:sz w:val="28"/>
          <w:shd w:val="clear" w:color="auto" w:fill="FFFFFF"/>
        </w:rPr>
        <w:t>一、明确学士学位管理职能</w:t>
      </w:r>
    </w:p>
    <w:p>
      <w:pPr>
        <w:shd w:val="solid" w:color="FFFFFF" w:fill="auto"/>
        <w:autoSpaceDN w:val="0"/>
        <w:spacing w:line="520" w:lineRule="atLeast"/>
        <w:ind w:firstLine="549"/>
        <w:jc w:val="left"/>
        <w:rPr>
          <w:rFonts w:ascii="微软雅黑"/>
          <w:color w:val="000000"/>
          <w:shd w:val="clear" w:color="auto" w:fill="FFFFFF"/>
        </w:rPr>
      </w:pPr>
      <w:r>
        <w:rPr>
          <w:rFonts w:ascii="仿宋"/>
          <w:color w:val="000000"/>
          <w:sz w:val="28"/>
          <w:shd w:val="clear" w:color="auto" w:fill="FFFFFF"/>
        </w:rPr>
        <w:t>各级学位管理工作由校学位评定委员会办公室统筹管理。具有博士、硕士学位授予权的高校要建立健全独立设置的学位评定委员会办公室，其他高校的校学位评定委员会办公室可挂靠在高校教务处。</w:t>
      </w:r>
    </w:p>
    <w:p>
      <w:pPr>
        <w:shd w:val="solid" w:color="FFFFFF" w:fill="auto"/>
        <w:autoSpaceDN w:val="0"/>
        <w:spacing w:line="520" w:lineRule="atLeast"/>
        <w:ind w:firstLine="549"/>
        <w:jc w:val="left"/>
        <w:rPr>
          <w:rFonts w:ascii="微软雅黑"/>
          <w:color w:val="000000"/>
          <w:shd w:val="clear" w:color="auto" w:fill="FFFFFF"/>
        </w:rPr>
      </w:pPr>
      <w:r>
        <w:rPr>
          <w:rFonts w:ascii="仿宋"/>
          <w:color w:val="000000"/>
          <w:sz w:val="28"/>
          <w:shd w:val="clear" w:color="auto" w:fill="FFFFFF"/>
        </w:rPr>
        <w:t>研究生和普通本科(含来华留学生)、成人高等教育（函授、网络、夜大、电大等教育，自学考试（以下简称“成人高等教育”））的学位授予工作可以由校学位评定委员会分别委托给研究生院（部、处）、教务部（处）审核。成人高等教育规模大，且有专门管理机构的高校可委托给继续教育学院或网络学院负责成人高等教育的学士学位审核。</w:t>
      </w:r>
    </w:p>
    <w:p>
      <w:pPr>
        <w:shd w:val="solid" w:color="FFFFFF" w:fill="auto"/>
        <w:autoSpaceDN w:val="0"/>
        <w:spacing w:line="520" w:lineRule="atLeast"/>
        <w:ind w:firstLine="549"/>
        <w:jc w:val="left"/>
        <w:rPr>
          <w:rFonts w:ascii="微软雅黑"/>
          <w:color w:val="000000"/>
          <w:shd w:val="clear" w:color="auto" w:fill="FFFFFF"/>
        </w:rPr>
      </w:pPr>
      <w:r>
        <w:rPr>
          <w:rFonts w:ascii="仿宋"/>
          <w:color w:val="000000"/>
          <w:sz w:val="28"/>
          <w:shd w:val="clear" w:color="auto" w:fill="FFFFFF"/>
        </w:rPr>
        <w:t>各级学位的授予应经校学位评定委员会办公室核定，统一提交到校学位评定委员会进行审定。</w:t>
      </w:r>
    </w:p>
    <w:p>
      <w:pPr>
        <w:shd w:val="solid" w:color="FFFFFF" w:fill="auto"/>
        <w:autoSpaceDN w:val="0"/>
        <w:spacing w:line="520" w:lineRule="atLeast"/>
        <w:ind w:firstLine="549"/>
        <w:jc w:val="left"/>
        <w:rPr>
          <w:rFonts w:ascii="微软雅黑"/>
          <w:color w:val="000000"/>
          <w:shd w:val="clear" w:color="auto" w:fill="FFFFFF"/>
        </w:rPr>
      </w:pPr>
      <w:r>
        <w:rPr>
          <w:rFonts w:ascii="仿宋"/>
          <w:color w:val="000000"/>
          <w:sz w:val="28"/>
          <w:shd w:val="clear" w:color="auto" w:fill="FFFFFF"/>
        </w:rPr>
        <w:t>二、严格规范学士学位授权审核工作</w:t>
      </w:r>
    </w:p>
    <w:p>
      <w:pPr>
        <w:shd w:val="solid" w:color="FFFFFF" w:fill="auto"/>
        <w:autoSpaceDN w:val="0"/>
        <w:spacing w:line="520" w:lineRule="atLeast"/>
        <w:ind w:firstLine="560"/>
        <w:jc w:val="left"/>
        <w:rPr>
          <w:rFonts w:ascii="微软雅黑"/>
          <w:color w:val="000000"/>
          <w:shd w:val="clear" w:color="auto" w:fill="FFFFFF"/>
        </w:rPr>
      </w:pPr>
      <w:r>
        <w:rPr>
          <w:rFonts w:ascii="仿宋"/>
          <w:color w:val="000000"/>
          <w:sz w:val="28"/>
          <w:shd w:val="clear" w:color="auto" w:fill="FFFFFF"/>
        </w:rPr>
        <w:t>根据国务院学位委员会、教育部《关于下放学士学位授予单位审批权的通知》（学位〔1999〕3号）的授权，省人民政府学位委员会按照国务院学位委员会和原国家教委《关于改进学士学位授予单位审核工作的通知》（〔87〕学位字016号）规定的条件，结合高等教育发展的实际情况，负责对本省区域内经教育部批准建立的全日制普通高等本科学校申请学士学位授予单位及学士学位授权专业进行审批。</w:t>
      </w:r>
    </w:p>
    <w:p>
      <w:pPr>
        <w:shd w:val="solid" w:color="FFFFFF" w:fill="auto"/>
        <w:autoSpaceDN w:val="0"/>
        <w:spacing w:line="520" w:lineRule="atLeast"/>
        <w:ind w:firstLine="562"/>
        <w:jc w:val="left"/>
        <w:rPr>
          <w:rFonts w:ascii="微软雅黑"/>
          <w:color w:val="000000"/>
          <w:shd w:val="clear" w:color="auto" w:fill="FFFFFF"/>
        </w:rPr>
      </w:pPr>
      <w:r>
        <w:rPr>
          <w:rFonts w:ascii="仿宋"/>
          <w:b/>
          <w:color w:val="000000"/>
          <w:sz w:val="28"/>
          <w:shd w:val="clear" w:color="auto" w:fill="FFFFFF"/>
        </w:rPr>
        <w:t>（一）关于新增学士学位授权单位的审核。</w:t>
      </w:r>
      <w:r>
        <w:rPr>
          <w:rFonts w:ascii="仿宋"/>
          <w:color w:val="000000"/>
          <w:sz w:val="28"/>
          <w:shd w:val="clear" w:color="auto" w:fill="FFFFFF"/>
        </w:rPr>
        <w:t>普通本科高校申请学士学位单位授予权须填报《申请列为学士学位授予单位的高等学校简况表》《申请列为学士学位专业简况表》等有关材料，由高校在有毕业生的当年3月上旬，向省人民政府学位委员会提出申请并提交有关材料，经专家实地评审后，报省人民政府学位委员会批准。结果报国务院学位委员会备案。</w:t>
      </w:r>
    </w:p>
    <w:p>
      <w:pPr>
        <w:shd w:val="solid" w:color="FFFFFF" w:fill="auto"/>
        <w:autoSpaceDN w:val="0"/>
        <w:spacing w:line="520" w:lineRule="atLeast"/>
        <w:ind w:firstLine="703"/>
        <w:jc w:val="left"/>
        <w:rPr>
          <w:rFonts w:ascii="微软雅黑"/>
          <w:color w:val="000000"/>
          <w:shd w:val="clear" w:color="auto" w:fill="FFFFFF"/>
        </w:rPr>
      </w:pPr>
      <w:r>
        <w:rPr>
          <w:rFonts w:ascii="仿宋"/>
          <w:b/>
          <w:color w:val="000000"/>
          <w:sz w:val="28"/>
          <w:shd w:val="clear" w:color="auto" w:fill="FFFFFF"/>
        </w:rPr>
        <w:t>（二）关于新增双学士学位授权单位的审核。</w:t>
      </w:r>
      <w:r>
        <w:rPr>
          <w:rFonts w:ascii="仿宋"/>
          <w:color w:val="000000"/>
          <w:sz w:val="28"/>
          <w:shd w:val="clear" w:color="auto" w:fill="FFFFFF"/>
        </w:rPr>
        <w:t>学位授予单位申请双学士学位单位授予权须具有学士学位授予权4年以上;本科毕业生就业情况良好；达到教育部规定各类办学基本要求；本科教学实行了学分制教学管理；本科教学工作水平评估获得优秀、良好等次。申请专业应是学校的优势、特色学科专业，师资力量等教学资源充足，且有4届以上毕业生。主、辅修专业分属不同学科门类。同时，需制定出开展双学士学位的实施方案，包括专业设置、培养方案和学位授予实施细则。首次申请的双学士学位专业不超过2个（程序同新增学士学位授权单位审核）。</w:t>
      </w:r>
    </w:p>
    <w:p>
      <w:pPr>
        <w:shd w:val="solid" w:color="FFFFFF" w:fill="auto"/>
        <w:autoSpaceDN w:val="0"/>
        <w:spacing w:line="520" w:lineRule="atLeast"/>
        <w:ind w:firstLine="408"/>
        <w:jc w:val="left"/>
        <w:rPr>
          <w:rFonts w:ascii="微软雅黑"/>
          <w:color w:val="000000"/>
          <w:shd w:val="clear" w:color="auto" w:fill="FFFFFF"/>
        </w:rPr>
      </w:pPr>
      <w:r>
        <w:rPr>
          <w:rFonts w:ascii="仿宋"/>
          <w:b/>
          <w:color w:val="000000"/>
          <w:sz w:val="28"/>
          <w:shd w:val="clear" w:color="auto" w:fill="FFFFFF"/>
        </w:rPr>
        <w:t>（三）关于新增学士学位授权专业审核。</w:t>
      </w:r>
      <w:r>
        <w:rPr>
          <w:rFonts w:ascii="仿宋"/>
          <w:color w:val="000000"/>
          <w:sz w:val="28"/>
          <w:shd w:val="clear" w:color="auto" w:fill="FFFFFF"/>
        </w:rPr>
        <w:t>已有学士学位授予权的高等学校，新增学士学位授权专业，由高校在该专业有应届毕业生当年的3月上旬，填写《申请列为授予学士学位专业简况表》等材料，由学校学位评定委员办公室或教务部（处）负责组织专家评审，报省人民政府学位委员会审批，审批结果于当年6月10日前下达各申请高校。</w:t>
      </w:r>
    </w:p>
    <w:p>
      <w:pPr>
        <w:shd w:val="solid" w:color="FFFFFF" w:fill="auto"/>
        <w:autoSpaceDN w:val="0"/>
        <w:spacing w:line="520" w:lineRule="atLeast"/>
        <w:ind w:firstLine="413"/>
        <w:jc w:val="left"/>
        <w:rPr>
          <w:rFonts w:ascii="微软雅黑"/>
          <w:color w:val="000000"/>
          <w:shd w:val="clear" w:color="auto" w:fill="FFFFFF"/>
        </w:rPr>
      </w:pPr>
      <w:r>
        <w:rPr>
          <w:rFonts w:ascii="仿宋"/>
          <w:b/>
          <w:color w:val="000000"/>
          <w:sz w:val="28"/>
          <w:shd w:val="clear" w:color="auto" w:fill="FFFFFF"/>
        </w:rPr>
        <w:t>（四）关于新增双学士学位专业审核。</w:t>
      </w:r>
      <w:r>
        <w:rPr>
          <w:rFonts w:ascii="仿宋"/>
          <w:color w:val="000000"/>
          <w:sz w:val="28"/>
          <w:shd w:val="clear" w:color="auto" w:fill="FFFFFF"/>
        </w:rPr>
        <w:t>具有双学士学位授权的普通高等本科院校，可根据实际需求情况和申报条件申请新增双学士学位专业（程序同新增学士学位授权专业审核）。</w:t>
      </w:r>
    </w:p>
    <w:p>
      <w:pPr>
        <w:shd w:val="solid" w:color="FFFFFF" w:fill="auto"/>
        <w:autoSpaceDN w:val="0"/>
        <w:spacing w:line="520" w:lineRule="atLeast"/>
        <w:ind w:firstLine="413"/>
        <w:jc w:val="left"/>
        <w:rPr>
          <w:rFonts w:ascii="微软雅黑"/>
          <w:color w:val="000000"/>
          <w:shd w:val="clear" w:color="auto" w:fill="FFFFFF"/>
        </w:rPr>
      </w:pPr>
      <w:r>
        <w:rPr>
          <w:rFonts w:ascii="仿宋"/>
          <w:b/>
          <w:color w:val="000000"/>
          <w:sz w:val="28"/>
          <w:shd w:val="clear" w:color="auto" w:fill="FFFFFF"/>
        </w:rPr>
        <w:t>（五）专业学士学位授权的审核。</w:t>
      </w:r>
      <w:r>
        <w:rPr>
          <w:rFonts w:ascii="仿宋"/>
          <w:color w:val="000000"/>
          <w:sz w:val="28"/>
          <w:shd w:val="clear" w:color="auto" w:fill="FFFFFF"/>
        </w:rPr>
        <w:t>专业学士学位（如建筑学学士学位）的申请，按国务院学位委员会、教育部、住建部等部委的有关规定执行，报国务院学位委员会批准。</w:t>
      </w:r>
    </w:p>
    <w:p>
      <w:pPr>
        <w:shd w:val="solid" w:color="FFFFFF" w:fill="auto"/>
        <w:autoSpaceDN w:val="0"/>
        <w:spacing w:line="520" w:lineRule="atLeast"/>
        <w:ind w:left="99" w:right="100" w:firstLine="560"/>
        <w:jc w:val="left"/>
        <w:rPr>
          <w:rFonts w:ascii="微软雅黑"/>
          <w:color w:val="000000"/>
          <w:shd w:val="clear" w:color="auto" w:fill="FFFFFF"/>
        </w:rPr>
      </w:pPr>
      <w:r>
        <w:rPr>
          <w:rFonts w:ascii="仿宋"/>
          <w:color w:val="000000"/>
          <w:sz w:val="28"/>
          <w:shd w:val="clear" w:color="auto" w:fill="FFFFFF"/>
        </w:rPr>
        <w:t>三、完善学士学位的授予工作</w:t>
      </w:r>
    </w:p>
    <w:p>
      <w:pPr>
        <w:shd w:val="solid" w:color="FFFFFF" w:fill="auto"/>
        <w:autoSpaceDN w:val="0"/>
        <w:spacing w:line="520" w:lineRule="atLeast"/>
        <w:ind w:left="150" w:right="100" w:firstLine="557"/>
        <w:jc w:val="left"/>
        <w:rPr>
          <w:rFonts w:ascii="微软雅黑"/>
          <w:color w:val="000000"/>
          <w:shd w:val="clear" w:color="auto" w:fill="FFFFFF"/>
        </w:rPr>
      </w:pPr>
      <w:r>
        <w:rPr>
          <w:rFonts w:ascii="仿宋"/>
          <w:b/>
          <w:color w:val="000000"/>
          <w:sz w:val="28"/>
          <w:shd w:val="clear" w:color="auto" w:fill="FFFFFF"/>
        </w:rPr>
        <w:t>（一）关于普通学士学位授予</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各校必须制定或完善学校学士学位授予办法及实施细则，报省人民政府学位委员会办公室备案，依法开展学校学士学位授予工作。</w:t>
      </w:r>
    </w:p>
    <w:p>
      <w:pPr>
        <w:shd w:val="solid" w:color="FFFFFF" w:fill="auto"/>
        <w:autoSpaceDN w:val="0"/>
        <w:spacing w:line="520" w:lineRule="atLeast"/>
        <w:ind w:left="99" w:right="100" w:firstLine="562"/>
        <w:jc w:val="left"/>
        <w:rPr>
          <w:rFonts w:ascii="微软雅黑"/>
          <w:color w:val="000000"/>
          <w:shd w:val="clear" w:color="auto" w:fill="FFFFFF"/>
        </w:rPr>
      </w:pPr>
      <w:r>
        <w:rPr>
          <w:rFonts w:ascii="仿宋"/>
          <w:b/>
          <w:color w:val="000000"/>
          <w:sz w:val="28"/>
          <w:shd w:val="clear" w:color="auto" w:fill="FFFFFF"/>
        </w:rPr>
        <w:t>（二）关于双学士学位</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1.优秀普通本科生，在籍学习期间学有余力，可以选择两个不同学科门类的专业通过辅修方式攻读双学士学位。</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2.双学士学位教育由学生个人自愿选择，不得强制学生攻读双学士学位。修读辅修专业的学生必须修满该专业规定学分并通过毕业设计（论文）答辩，满足修读学校对外语课程要求等各项条件，且已获得主修专业学士学位后方可获得双学位。主、辅修专业不是同一所高校的，学位授予条件、要求等按主、辅修就读学校标准执行。双学士学位的授予一般应于学生毕业当年完成。</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3</w:t>
      </w:r>
      <w:r>
        <w:rPr>
          <w:rFonts w:ascii="仿宋"/>
          <w:color w:val="800000"/>
          <w:sz w:val="28"/>
          <w:shd w:val="clear" w:color="auto" w:fill="FFFFFF"/>
        </w:rPr>
        <w:t>.</w:t>
      </w:r>
      <w:r>
        <w:rPr>
          <w:rFonts w:ascii="仿宋"/>
          <w:color w:val="000000"/>
          <w:sz w:val="28"/>
          <w:shd w:val="clear" w:color="auto" w:fill="FFFFFF"/>
        </w:rPr>
        <w:t>获得双学士学位者由就读学校颁发学位证书。双学士学位的授予比例一般控制在颁证学校当年普通学士学位授予人数10%以内。列入部、省属高校对口支持合作计划联合培养人才项目的，经商省人民政府学位委员会办公室同意后，可适当放宽比例。</w:t>
      </w:r>
    </w:p>
    <w:p>
      <w:pPr>
        <w:shd w:val="solid" w:color="FFFFFF" w:fill="auto"/>
        <w:autoSpaceDN w:val="0"/>
        <w:spacing w:line="520" w:lineRule="atLeast"/>
        <w:ind w:left="154" w:right="100" w:firstLine="700"/>
        <w:jc w:val="left"/>
        <w:rPr>
          <w:rFonts w:ascii="微软雅黑"/>
          <w:color w:val="000000"/>
          <w:shd w:val="clear" w:color="auto" w:fill="FFFFFF"/>
        </w:rPr>
      </w:pPr>
      <w:r>
        <w:rPr>
          <w:rFonts w:ascii="仿宋"/>
          <w:color w:val="000000"/>
          <w:sz w:val="28"/>
          <w:shd w:val="clear" w:color="auto" w:fill="FFFFFF"/>
        </w:rPr>
        <w:t>4.开展跨校联合办学举办双学士学位教育的高校须在经批准的双学士学位授权单位及专业范围内安排辅修。联合培养协议、联合培养方案（分校分专业）、联合培养专业汇总表等材料报省人民政府学位委员会办公室备案。</w:t>
      </w:r>
    </w:p>
    <w:p>
      <w:pPr>
        <w:shd w:val="solid" w:color="FFFFFF" w:fill="auto"/>
        <w:autoSpaceDN w:val="0"/>
        <w:spacing w:line="520" w:lineRule="atLeast"/>
        <w:ind w:left="150" w:right="100" w:firstLine="559"/>
        <w:jc w:val="left"/>
        <w:rPr>
          <w:rFonts w:ascii="微软雅黑"/>
          <w:color w:val="000000"/>
          <w:shd w:val="clear" w:color="auto" w:fill="FFFFFF"/>
        </w:rPr>
      </w:pPr>
      <w:r>
        <w:rPr>
          <w:rFonts w:ascii="仿宋"/>
          <w:b/>
          <w:color w:val="000000"/>
          <w:sz w:val="28"/>
          <w:shd w:val="clear" w:color="auto" w:fill="FFFFFF"/>
        </w:rPr>
        <w:t>（三）关于第二学士学位</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第二学士学位教育，是指大学本科</w:t>
      </w:r>
      <w:r>
        <w:rPr>
          <w:rFonts w:ascii="仿宋"/>
          <w:b/>
          <w:color w:val="000000"/>
          <w:sz w:val="28"/>
          <w:shd w:val="clear" w:color="auto" w:fill="FFFFFF"/>
        </w:rPr>
        <w:t>毕业生</w:t>
      </w:r>
      <w:r>
        <w:rPr>
          <w:rFonts w:ascii="仿宋"/>
          <w:color w:val="000000"/>
          <w:sz w:val="28"/>
          <w:shd w:val="clear" w:color="auto" w:fill="FFFFFF"/>
        </w:rPr>
        <w:t>在已获得第一个学士学位（含成人教育学士学位）的基础上，攻读第二个学士学位。</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举办第二学士学位教育的普通高等学校和专业，须经教育部批准。</w:t>
      </w:r>
    </w:p>
    <w:p>
      <w:pPr>
        <w:shd w:val="solid" w:color="FFFFFF" w:fill="auto"/>
        <w:autoSpaceDN w:val="0"/>
        <w:spacing w:line="520" w:lineRule="atLeast"/>
        <w:ind w:left="150" w:right="100" w:firstLine="551"/>
        <w:jc w:val="left"/>
        <w:rPr>
          <w:rFonts w:ascii="微软雅黑"/>
          <w:color w:val="FF0000"/>
          <w:shd w:val="clear" w:color="auto" w:fill="FFFFFF"/>
        </w:rPr>
      </w:pPr>
      <w:r>
        <w:rPr>
          <w:rFonts w:ascii="仿宋"/>
          <w:b/>
          <w:color w:val="FF0000"/>
          <w:sz w:val="28"/>
          <w:shd w:val="clear" w:color="auto" w:fill="FFFFFF"/>
        </w:rPr>
        <w:t>（四）关于成人高等教育学士学位</w:t>
      </w:r>
    </w:p>
    <w:p>
      <w:pPr>
        <w:shd w:val="solid" w:color="FFFFFF" w:fill="auto"/>
        <w:autoSpaceDN w:val="0"/>
        <w:spacing w:line="520" w:lineRule="atLeast"/>
        <w:ind w:left="154" w:right="100" w:firstLine="560"/>
        <w:jc w:val="left"/>
        <w:rPr>
          <w:rFonts w:hint="eastAsia" w:ascii="仿宋"/>
          <w:color w:val="FF0000"/>
          <w:sz w:val="28"/>
          <w:shd w:val="clear" w:color="auto" w:fill="FFFFFF"/>
        </w:rPr>
      </w:pPr>
      <w:r>
        <w:rPr>
          <w:rFonts w:ascii="仿宋"/>
          <w:color w:val="FF0000"/>
          <w:sz w:val="28"/>
          <w:shd w:val="clear" w:color="auto" w:fill="FFFFFF"/>
        </w:rPr>
        <w:t>各单位要严格掌握授予成人高等教育本科毕业生学士学位的标准，不得降低标准授予学位。在资格审查中，继续执行全省统一规定课程修业标准。</w:t>
      </w:r>
    </w:p>
    <w:p>
      <w:pPr>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1.课程考试成绩（公共课、基础课、专业主干课）：自考生所学课程考试成绩全部合格，其它类成人教育（夜大、函授、电大、网络等）毕业生课程考试成绩≥75分；</w:t>
      </w:r>
    </w:p>
    <w:p>
      <w:pPr>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2.学位课程考试成绩（一门专业基础课、两门专业课）：自学考试学位课程平均成绩≥70分，且单科成绩不低于65分； 其它类成人教育（夜大、函授、电大、网络等）本科毕业生学位课程成绩≥75分以上。</w:t>
      </w:r>
    </w:p>
    <w:p>
      <w:pPr>
        <w:shd w:val="solid" w:color="FFFFFF" w:fill="auto"/>
        <w:autoSpaceDN w:val="0"/>
        <w:spacing w:line="520" w:lineRule="atLeast"/>
        <w:ind w:left="154" w:right="100" w:firstLine="560"/>
        <w:jc w:val="left"/>
        <w:rPr>
          <w:rFonts w:ascii="微软雅黑"/>
          <w:color w:val="FF0000"/>
          <w:shd w:val="clear" w:color="auto" w:fill="FFFFFF"/>
        </w:rPr>
      </w:pPr>
    </w:p>
    <w:p>
      <w:pPr>
        <w:shd w:val="solid" w:color="FFFFFF" w:fill="auto"/>
        <w:autoSpaceDN w:val="0"/>
        <w:spacing w:line="520" w:lineRule="atLeast"/>
        <w:ind w:left="154" w:right="100" w:firstLine="562"/>
        <w:jc w:val="left"/>
        <w:rPr>
          <w:rFonts w:ascii="微软雅黑"/>
          <w:color w:val="FF0000"/>
          <w:shd w:val="clear" w:color="auto" w:fill="FFFFFF"/>
        </w:rPr>
      </w:pPr>
      <w:r>
        <w:rPr>
          <w:rFonts w:ascii="仿宋"/>
          <w:b/>
          <w:color w:val="FF0000"/>
          <w:sz w:val="28"/>
          <w:shd w:val="clear" w:color="auto" w:fill="FFFFFF"/>
        </w:rPr>
        <w:t>3.</w:t>
      </w:r>
      <w:r>
        <w:rPr>
          <w:rFonts w:ascii="仿宋"/>
          <w:color w:val="FF0000"/>
          <w:sz w:val="28"/>
          <w:shd w:val="clear" w:color="auto" w:fill="FFFFFF"/>
        </w:rPr>
        <w:t>外语水平考试成绩：学位申请者在籍学习期间，须参加全省组织的成人学士学位外语考试且成绩合格（含第二外语），或非英语专业本科生参加全国大学英语四级、六级考试成绩合格、或参加全国公共英语等级考试四级（PETS-4）成绩合格；英语、日语专业本科生申请授予学士学位，在籍学习期间参加专业英语四级、专业日语一级考试且成绩合格。</w:t>
      </w:r>
      <w:r>
        <w:rPr>
          <w:rFonts w:ascii="仿宋"/>
          <w:color w:val="FF0000"/>
          <w:sz w:val="28"/>
          <w:highlight w:val="yellow"/>
          <w:shd w:val="clear" w:color="auto" w:fill="FFFFFF"/>
        </w:rPr>
        <w:t>外语成绩有效期为学生在籍学习期间。</w:t>
      </w:r>
    </w:p>
    <w:p>
      <w:pPr>
        <w:shd w:val="solid" w:color="FFFFFF" w:fill="auto"/>
        <w:autoSpaceDN w:val="0"/>
        <w:spacing w:line="520" w:lineRule="atLeast"/>
        <w:ind w:left="154" w:right="100" w:firstLine="562"/>
        <w:jc w:val="left"/>
        <w:rPr>
          <w:rFonts w:ascii="微软雅黑"/>
          <w:color w:val="FF0000"/>
          <w:shd w:val="clear" w:color="auto" w:fill="FFFFFF"/>
        </w:rPr>
      </w:pPr>
      <w:r>
        <w:rPr>
          <w:rFonts w:ascii="仿宋"/>
          <w:b/>
          <w:color w:val="FF0000"/>
          <w:sz w:val="28"/>
          <w:shd w:val="clear" w:color="auto" w:fill="FFFFFF"/>
        </w:rPr>
        <w:t>4.</w:t>
      </w:r>
      <w:r>
        <w:rPr>
          <w:rFonts w:ascii="仿宋"/>
          <w:color w:val="FF0000"/>
          <w:sz w:val="28"/>
          <w:shd w:val="clear" w:color="auto" w:fill="FFFFFF"/>
        </w:rPr>
        <w:t>授予专业</w:t>
      </w:r>
      <w:r>
        <w:rPr>
          <w:rFonts w:ascii="仿宋"/>
          <w:b/>
          <w:color w:val="FF0000"/>
          <w:sz w:val="28"/>
          <w:shd w:val="clear" w:color="auto" w:fill="FFFFFF"/>
        </w:rPr>
        <w:t>：</w:t>
      </w:r>
      <w:r>
        <w:rPr>
          <w:rFonts w:ascii="仿宋"/>
          <w:color w:val="FF0000"/>
          <w:sz w:val="28"/>
          <w:shd w:val="clear" w:color="auto" w:fill="FFFFFF"/>
        </w:rPr>
        <w:t>成人高等教育（夜大、函授、电大、网络等）学士学位授权专业必须是学校普通本科已有授权专业。普通学士学位没有授权的专业，该专业学生的学士学位授予工作挂靠本校或同类高校具有学位授予权的相近或相同学科门类进行。自学考试学士学位授权专业必须是省教育考试院自考办批准的专业。</w:t>
      </w:r>
    </w:p>
    <w:p>
      <w:pPr>
        <w:shd w:val="solid" w:color="FFFFFF" w:fill="auto"/>
        <w:autoSpaceDN w:val="0"/>
        <w:spacing w:line="520" w:lineRule="atLeast"/>
        <w:ind w:left="154" w:right="100" w:firstLine="562"/>
        <w:jc w:val="left"/>
        <w:rPr>
          <w:rFonts w:ascii="微软雅黑"/>
          <w:color w:val="auto"/>
          <w:shd w:val="clear" w:color="auto" w:fill="FFFFFF"/>
        </w:rPr>
      </w:pPr>
      <w:r>
        <w:rPr>
          <w:rFonts w:ascii="仿宋"/>
          <w:b/>
          <w:color w:val="auto"/>
          <w:sz w:val="28"/>
          <w:shd w:val="clear" w:color="auto" w:fill="FFFFFF"/>
        </w:rPr>
        <w:t>5.</w:t>
      </w:r>
      <w:r>
        <w:rPr>
          <w:rFonts w:ascii="仿宋"/>
          <w:color w:val="auto"/>
          <w:sz w:val="28"/>
          <w:shd w:val="clear" w:color="auto" w:fill="FFFFFF"/>
        </w:rPr>
        <w:t>授予程序：本人填写《申请表》，经学院、继续教育学院或自考办初审，校学位评定委员会办公室或教务处审核后，报省人民政府学位委员会复审（必要时复审相关数据由省教育考试院提供）。经复审后，再按规定程序提交校学位评定委员会审定。省人民政府学位委员会复审时间一般为每年的6月、12月。</w:t>
      </w:r>
    </w:p>
    <w:p>
      <w:pPr>
        <w:shd w:val="solid" w:color="FFFFFF" w:fill="auto"/>
        <w:autoSpaceDN w:val="0"/>
        <w:spacing w:line="520" w:lineRule="atLeast"/>
        <w:ind w:left="99" w:right="100" w:firstLine="560"/>
        <w:jc w:val="left"/>
        <w:rPr>
          <w:rFonts w:ascii="微软雅黑"/>
          <w:color w:val="000000"/>
          <w:shd w:val="clear" w:color="auto" w:fill="FFFFFF"/>
        </w:rPr>
      </w:pPr>
      <w:r>
        <w:rPr>
          <w:rFonts w:ascii="仿宋"/>
          <w:color w:val="000000"/>
          <w:sz w:val="28"/>
          <w:shd w:val="clear" w:color="auto" w:fill="FFFFFF"/>
        </w:rPr>
        <w:t>四、切实做好学位信息管理工作</w:t>
      </w:r>
    </w:p>
    <w:p>
      <w:pPr>
        <w:shd w:val="solid" w:color="FFFFFF" w:fill="auto"/>
        <w:autoSpaceDN w:val="0"/>
        <w:spacing w:line="520" w:lineRule="atLeast"/>
        <w:ind w:left="154" w:right="100" w:firstLine="560"/>
        <w:jc w:val="left"/>
        <w:rPr>
          <w:rFonts w:ascii="微软雅黑"/>
          <w:color w:val="FF0000"/>
          <w:shd w:val="clear" w:color="auto" w:fill="FFFFFF"/>
        </w:rPr>
      </w:pPr>
      <w:r>
        <w:rPr>
          <w:rFonts w:ascii="仿宋"/>
          <w:color w:val="000000"/>
          <w:sz w:val="28"/>
          <w:shd w:val="clear" w:color="auto" w:fill="FFFFFF"/>
        </w:rPr>
        <w:t>各单位要重视学位信息管理工作，要认真贯彻国务院学位办公室《关于加强学位与研究生教育信息管理工作的通知》（学位办〔2007〕58号）文件的精神，落实学位与研究生教育信息安全管理模式，建立信息上报审核制度，对重要信息迟报、漏报、瞒报建立问责制度。要配备专人和设备等工作条件，及时采集、汇总和上报学位数据。导致学生学位信息未能及时上网的，由学位授予单位承担相关责任。</w:t>
      </w:r>
      <w:r>
        <w:rPr>
          <w:rFonts w:ascii="仿宋"/>
          <w:color w:val="FF0000"/>
          <w:sz w:val="28"/>
          <w:shd w:val="clear" w:color="auto" w:fill="FFFFFF"/>
        </w:rPr>
        <w:t>原则上坚持当年毕业、当年授学位、当年注册上网。普通和成人本科生应在取得毕业证书同期申请和授予学位；特殊情况下，申请和授予学位的时间一般不得晚于毕业证书签发时间6个月。各学位授予单位不得随意向往届毕业生补授学位。</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各学位授予单位须严格按照国家《学位条例》、《实施办法》以及本通知的要求，结合本单位实际，建立健全学位管理机构，明确管理职责。规范和修订本校学士学位授予办法及实施细则，规定学士学位授予的具体条件及标准、申请的程序等。各学位授予单位所制定的学士学位授予办法及实施细则，应及时向学生公布，纳入新生入学教育内容。请有关单位于2013年5月底以前将学校学士学位授予办法及实施细则等报省人民政府学位委员会办公室备案。</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 xml:space="preserve"> </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 xml:space="preserve"> </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 xml:space="preserve"> </w:t>
      </w:r>
    </w:p>
    <w:p>
      <w:pPr>
        <w:shd w:val="solid" w:color="FFFFFF" w:fill="auto"/>
        <w:autoSpaceDN w:val="0"/>
        <w:spacing w:line="520" w:lineRule="atLeast"/>
        <w:ind w:left="154" w:right="100" w:firstLine="560"/>
        <w:jc w:val="left"/>
        <w:rPr>
          <w:rFonts w:ascii="微软雅黑"/>
          <w:color w:val="000000"/>
          <w:shd w:val="clear" w:color="auto" w:fill="FFFFFF"/>
        </w:rPr>
      </w:pPr>
      <w:r>
        <w:rPr>
          <w:rFonts w:ascii="仿宋"/>
          <w:color w:val="000000"/>
          <w:sz w:val="28"/>
          <w:shd w:val="clear" w:color="auto" w:fill="FFFFFF"/>
        </w:rPr>
        <w:t xml:space="preserve"> </w:t>
      </w:r>
    </w:p>
    <w:p>
      <w:pPr>
        <w:shd w:val="solid" w:color="FFFFFF" w:fill="auto"/>
        <w:autoSpaceDN w:val="0"/>
        <w:spacing w:line="520" w:lineRule="atLeast"/>
        <w:ind w:left="154" w:right="100" w:firstLine="3038"/>
        <w:jc w:val="left"/>
        <w:rPr>
          <w:rFonts w:ascii="微软雅黑"/>
          <w:color w:val="000000"/>
          <w:shd w:val="clear" w:color="auto" w:fill="FFFFFF"/>
        </w:rPr>
      </w:pPr>
      <w:r>
        <w:rPr>
          <w:rFonts w:ascii="仿宋"/>
          <w:color w:val="000000"/>
          <w:sz w:val="28"/>
          <w:shd w:val="clear" w:color="auto" w:fill="FFFFFF"/>
        </w:rPr>
        <w:t xml:space="preserve">           湖北省人民政府学位委员会</w:t>
      </w:r>
    </w:p>
    <w:p>
      <w:pPr>
        <w:shd w:val="solid" w:color="FFFFFF" w:fill="auto"/>
        <w:autoSpaceDN w:val="0"/>
        <w:spacing w:line="520" w:lineRule="atLeast"/>
        <w:ind w:left="154" w:right="100" w:firstLine="3175"/>
        <w:jc w:val="left"/>
        <w:rPr>
          <w:rFonts w:ascii="微软雅黑"/>
          <w:color w:val="000000"/>
          <w:shd w:val="clear" w:color="auto" w:fill="FFFFFF"/>
        </w:rPr>
      </w:pPr>
      <w:r>
        <w:rPr>
          <w:rFonts w:ascii="仿宋"/>
          <w:color w:val="000000"/>
          <w:sz w:val="28"/>
          <w:shd w:val="clear" w:color="auto" w:fill="FFFFFF"/>
        </w:rPr>
        <w:t xml:space="preserve">               2012年12月5日</w:t>
      </w:r>
    </w:p>
    <w:p/>
    <w:p>
      <w:pPr>
        <w:keepNext w:val="0"/>
        <w:keepLines w:val="0"/>
        <w:pageBreakBefore w:val="0"/>
        <w:kinsoku/>
        <w:wordWrap/>
        <w:overflowPunct/>
        <w:topLinePunct w:val="0"/>
        <w:autoSpaceDE/>
        <w:autoSpaceDN/>
        <w:bidi w:val="0"/>
        <w:adjustRightInd/>
        <w:snapToGrid/>
        <w:spacing w:beforeAutospacing="0" w:line="440" w:lineRule="exact"/>
        <w:textAlignment w:val="auto"/>
        <w:rPr>
          <w:rFonts w:hint="default" w:ascii="Arial" w:hAnsi="Arial" w:eastAsia="宋体" w:cs="Arial"/>
          <w:i w:val="0"/>
          <w:iCs w:val="0"/>
          <w:caps w:val="0"/>
          <w:color w:val="000000"/>
          <w:spacing w:val="15"/>
          <w:sz w:val="21"/>
          <w:szCs w:val="21"/>
        </w:rPr>
      </w:pPr>
    </w:p>
    <w:sectPr>
      <w:pgSz w:w="11906" w:h="16838"/>
      <w:pgMar w:top="1440" w:right="1800" w:bottom="9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MDg5ZGI0NTI5MDZlYjY5YmY4ZTczNzE3NGIyNzMifQ=="/>
  </w:docVars>
  <w:rsids>
    <w:rsidRoot w:val="32B571B2"/>
    <w:rsid w:val="07624F62"/>
    <w:rsid w:val="077C02B6"/>
    <w:rsid w:val="0AD9736E"/>
    <w:rsid w:val="0E5436CC"/>
    <w:rsid w:val="0FC73AE4"/>
    <w:rsid w:val="1BC17330"/>
    <w:rsid w:val="22851AF4"/>
    <w:rsid w:val="2FF71178"/>
    <w:rsid w:val="31405934"/>
    <w:rsid w:val="32B571B2"/>
    <w:rsid w:val="35354859"/>
    <w:rsid w:val="4CFF6E56"/>
    <w:rsid w:val="5E0A1367"/>
    <w:rsid w:val="6048497B"/>
    <w:rsid w:val="68614E3C"/>
    <w:rsid w:val="6BAE2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styleId="7">
    <w:name w:val="List Paragraph"/>
    <w:basedOn w:val="1"/>
    <w:qFormat/>
    <w:uiPriority w:val="34"/>
    <w:pPr>
      <w:ind w:firstLine="420" w:firstLineChars="200"/>
    </w:pPr>
  </w:style>
  <w:style w:type="paragraph" w:customStyle="1" w:styleId="8">
    <w:name w:val="A-正文标题"/>
    <w:basedOn w:val="1"/>
    <w:qFormat/>
    <w:uiPriority w:val="0"/>
    <w:pPr>
      <w:adjustRightInd w:val="0"/>
      <w:snapToGrid w:val="0"/>
      <w:spacing w:line="600" w:lineRule="exact"/>
      <w:jc w:val="center"/>
    </w:pPr>
    <w:rPr>
      <w:rFonts w:ascii="方正小标宋_GBK" w:hAnsi="方正小标宋_GBK" w:eastAsia="方正小标宋_GBK"/>
      <w:sz w:val="36"/>
      <w:szCs w:val="36"/>
    </w:rPr>
  </w:style>
  <w:style w:type="paragraph" w:customStyle="1" w:styleId="9">
    <w:name w:val="A-一级标题"/>
    <w:basedOn w:val="1"/>
    <w:qFormat/>
    <w:uiPriority w:val="2"/>
    <w:pPr>
      <w:adjustRightInd w:val="0"/>
      <w:snapToGrid w:val="0"/>
      <w:spacing w:line="600" w:lineRule="exact"/>
      <w:ind w:firstLine="643" w:firstLineChars="200"/>
    </w:pPr>
    <w:rPr>
      <w:rFonts w:ascii="黑体" w:hAnsi="黑体" w:eastAsia="黑体"/>
      <w:sz w:val="32"/>
      <w:szCs w:val="32"/>
    </w:rPr>
  </w:style>
  <w:style w:type="paragraph" w:customStyle="1" w:styleId="10">
    <w:name w:val="A-正文"/>
    <w:basedOn w:val="1"/>
    <w:qFormat/>
    <w:uiPriority w:val="1"/>
    <w:pPr>
      <w:adjustRightInd w:val="0"/>
      <w:snapToGrid w:val="0"/>
      <w:spacing w:line="600" w:lineRule="exact"/>
      <w:ind w:firstLine="640" w:firstLineChars="200"/>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6104</Words>
  <Characters>6398</Characters>
  <Lines>0</Lines>
  <Paragraphs>0</Paragraphs>
  <TotalTime>11</TotalTime>
  <ScaleCrop>false</ScaleCrop>
  <LinksUpToDate>false</LinksUpToDate>
  <CharactersWithSpaces>6610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2022-05-09T02:58:00Z</dcterms:created>
  <dc:creator>Administrator</dc:creator>
  <cp:lastModifiedBy>Administrator</cp:lastModifiedBy>
  <cp:lastPrinted>2022-11-14T01:28:00Z</cp:lastPrinted>
  <dcterms:modified xsi:type="dcterms:W3CDTF">2022-11-14T01:55:54Z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FEF82C3A4F694A6DAA8FBD5EB19BB4AE</vt:lpwstr>
  </property>
</Properties>
</file>